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B896" w14:textId="77777777" w:rsidR="009520B5" w:rsidRDefault="009520B5" w:rsidP="00B14F20">
      <w:pPr>
        <w:ind w:left="426" w:hanging="420"/>
        <w:jc w:val="center"/>
        <w:rPr>
          <w:rFonts w:ascii="Arial" w:hAnsi="Arial" w:cs="Arial"/>
          <w:b/>
          <w:bCs/>
          <w:sz w:val="32"/>
          <w:szCs w:val="32"/>
          <w:u w:val="single"/>
        </w:rPr>
      </w:pPr>
    </w:p>
    <w:p w14:paraId="7FD1BCE8" w14:textId="19495FE5" w:rsidR="006F0715" w:rsidRDefault="006F0715" w:rsidP="006F0715">
      <w:pPr>
        <w:jc w:val="center"/>
        <w:rPr>
          <w:rFonts w:ascii="Arial" w:hAnsi="Arial" w:cs="Arial"/>
          <w:b/>
          <w:sz w:val="72"/>
          <w:szCs w:val="72"/>
          <w:u w:val="single"/>
        </w:rPr>
      </w:pPr>
      <w:r>
        <w:rPr>
          <w:rFonts w:ascii="Arial" w:hAnsi="Arial" w:cs="Arial"/>
          <w:b/>
          <w:sz w:val="72"/>
          <w:szCs w:val="72"/>
          <w:u w:val="single"/>
        </w:rPr>
        <w:t xml:space="preserve">Induction Policy </w:t>
      </w:r>
    </w:p>
    <w:p w14:paraId="2C4909E4" w14:textId="77777777" w:rsidR="006F0715" w:rsidRPr="00941233" w:rsidRDefault="006F0715" w:rsidP="006F0715">
      <w:pPr>
        <w:jc w:val="center"/>
        <w:rPr>
          <w:rFonts w:ascii="Arial" w:hAnsi="Arial" w:cs="Arial"/>
          <w:b/>
          <w:sz w:val="28"/>
          <w:szCs w:val="28"/>
        </w:rPr>
      </w:pPr>
      <w:r w:rsidRPr="00941233">
        <w:rPr>
          <w:rFonts w:ascii="Arial" w:hAnsi="Arial" w:cs="Arial"/>
          <w:b/>
          <w:sz w:val="28"/>
          <w:szCs w:val="28"/>
        </w:rPr>
        <w:t>Roselyn House School</w:t>
      </w:r>
    </w:p>
    <w:p w14:paraId="090D422E" w14:textId="77777777" w:rsidR="006F0715" w:rsidRPr="00941233" w:rsidRDefault="006F0715" w:rsidP="006F0715">
      <w:pPr>
        <w:jc w:val="center"/>
        <w:rPr>
          <w:rFonts w:ascii="Arial" w:hAnsi="Arial" w:cs="Arial"/>
          <w:b/>
          <w:sz w:val="28"/>
          <w:szCs w:val="28"/>
        </w:rPr>
      </w:pPr>
      <w:r w:rsidRPr="00941233">
        <w:rPr>
          <w:rFonts w:ascii="Arial" w:hAnsi="Arial" w:cs="Arial"/>
          <w:b/>
          <w:sz w:val="28"/>
          <w:szCs w:val="28"/>
        </w:rPr>
        <w:t>2025 – 2026</w:t>
      </w:r>
    </w:p>
    <w:p w14:paraId="5CB083B9" w14:textId="77777777" w:rsidR="006F0715" w:rsidRPr="006D7435" w:rsidRDefault="006F0715" w:rsidP="006F0715">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8240" behindDoc="1" locked="0" layoutInCell="1" allowOverlap="1" wp14:anchorId="412978A6" wp14:editId="6F0659EF">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7ABA4611" w14:textId="77777777" w:rsidR="006F0715" w:rsidRPr="003D5194" w:rsidRDefault="006F0715" w:rsidP="006F0715">
      <w:pPr>
        <w:jc w:val="both"/>
        <w:rPr>
          <w:rFonts w:ascii="Arial" w:hAnsi="Arial" w:cs="Arial"/>
          <w:sz w:val="24"/>
          <w:szCs w:val="24"/>
        </w:rPr>
      </w:pPr>
    </w:p>
    <w:p w14:paraId="571EEFAA" w14:textId="77777777" w:rsidR="006F0715" w:rsidRDefault="006F0715" w:rsidP="006F0715">
      <w:pPr>
        <w:jc w:val="both"/>
        <w:rPr>
          <w:rFonts w:ascii="Arial" w:hAnsi="Arial" w:cs="Arial"/>
          <w:b/>
          <w:sz w:val="24"/>
          <w:szCs w:val="24"/>
        </w:rPr>
      </w:pPr>
    </w:p>
    <w:p w14:paraId="58DD1F67" w14:textId="77777777" w:rsidR="006F0715" w:rsidRDefault="006F0715" w:rsidP="006F0715">
      <w:pPr>
        <w:jc w:val="both"/>
        <w:rPr>
          <w:rFonts w:ascii="Arial" w:hAnsi="Arial" w:cs="Arial"/>
          <w:b/>
          <w:sz w:val="24"/>
          <w:szCs w:val="24"/>
        </w:rPr>
      </w:pPr>
    </w:p>
    <w:p w14:paraId="360A99AC" w14:textId="77777777" w:rsidR="006F0715" w:rsidRDefault="006F0715" w:rsidP="006F0715">
      <w:pPr>
        <w:jc w:val="both"/>
        <w:rPr>
          <w:rFonts w:ascii="Arial" w:hAnsi="Arial" w:cs="Arial"/>
          <w:b/>
          <w:sz w:val="24"/>
          <w:szCs w:val="24"/>
        </w:rPr>
      </w:pPr>
    </w:p>
    <w:p w14:paraId="4FB61A80" w14:textId="77777777" w:rsidR="006F0715" w:rsidRDefault="006F0715" w:rsidP="006F0715">
      <w:pPr>
        <w:jc w:val="both"/>
        <w:rPr>
          <w:rFonts w:ascii="Arial" w:hAnsi="Arial" w:cs="Arial"/>
          <w:b/>
          <w:sz w:val="24"/>
          <w:szCs w:val="24"/>
        </w:rPr>
      </w:pPr>
    </w:p>
    <w:p w14:paraId="18237120" w14:textId="77777777" w:rsidR="006F0715" w:rsidRDefault="006F0715" w:rsidP="006F0715">
      <w:pPr>
        <w:jc w:val="both"/>
        <w:rPr>
          <w:rFonts w:ascii="Arial" w:hAnsi="Arial" w:cs="Arial"/>
          <w:b/>
          <w:sz w:val="24"/>
          <w:szCs w:val="24"/>
        </w:rPr>
      </w:pPr>
    </w:p>
    <w:p w14:paraId="22B79D30" w14:textId="77777777" w:rsidR="006F0715" w:rsidRDefault="006F0715" w:rsidP="006F0715">
      <w:pPr>
        <w:jc w:val="both"/>
        <w:rPr>
          <w:rFonts w:ascii="Arial" w:hAnsi="Arial" w:cs="Arial"/>
          <w:b/>
          <w:sz w:val="24"/>
          <w:szCs w:val="24"/>
        </w:rPr>
      </w:pPr>
    </w:p>
    <w:p w14:paraId="7915F5A1" w14:textId="77777777" w:rsidR="006F0715" w:rsidRDefault="006F0715" w:rsidP="006F0715">
      <w:pPr>
        <w:jc w:val="both"/>
        <w:rPr>
          <w:rFonts w:ascii="Arial" w:hAnsi="Arial" w:cs="Arial"/>
          <w:b/>
          <w:sz w:val="24"/>
          <w:szCs w:val="24"/>
        </w:rPr>
      </w:pPr>
    </w:p>
    <w:p w14:paraId="5A7D0E5C" w14:textId="77777777" w:rsidR="006F0715" w:rsidRDefault="006F0715" w:rsidP="006F0715">
      <w:pPr>
        <w:jc w:val="both"/>
        <w:rPr>
          <w:rFonts w:ascii="Arial" w:hAnsi="Arial" w:cs="Arial"/>
          <w:b/>
          <w:sz w:val="24"/>
          <w:szCs w:val="24"/>
        </w:rPr>
      </w:pPr>
    </w:p>
    <w:p w14:paraId="0A9CB66B" w14:textId="77777777" w:rsidR="006F0715" w:rsidRDefault="006F0715" w:rsidP="006F0715">
      <w:pPr>
        <w:jc w:val="both"/>
        <w:rPr>
          <w:rFonts w:ascii="Arial" w:hAnsi="Arial" w:cs="Arial"/>
          <w:b/>
          <w:sz w:val="24"/>
          <w:szCs w:val="24"/>
        </w:rPr>
      </w:pPr>
    </w:p>
    <w:p w14:paraId="390ED5ED" w14:textId="77777777" w:rsidR="006F0715" w:rsidRDefault="006F0715" w:rsidP="006F0715">
      <w:pPr>
        <w:jc w:val="both"/>
        <w:rPr>
          <w:rFonts w:ascii="Arial" w:hAnsi="Arial" w:cs="Arial"/>
          <w:b/>
          <w:sz w:val="24"/>
          <w:szCs w:val="24"/>
        </w:rPr>
      </w:pPr>
    </w:p>
    <w:p w14:paraId="0931C1A3" w14:textId="77777777" w:rsidR="006F0715" w:rsidRDefault="006F0715" w:rsidP="006F0715">
      <w:pPr>
        <w:jc w:val="both"/>
        <w:rPr>
          <w:rFonts w:ascii="Arial" w:hAnsi="Arial" w:cs="Arial"/>
          <w:b/>
          <w:sz w:val="24"/>
          <w:szCs w:val="24"/>
        </w:rPr>
      </w:pPr>
    </w:p>
    <w:p w14:paraId="54DE4A34" w14:textId="77777777" w:rsidR="006F0715" w:rsidRDefault="006F0715" w:rsidP="006F0715">
      <w:pPr>
        <w:jc w:val="both"/>
        <w:rPr>
          <w:rFonts w:ascii="Arial" w:hAnsi="Arial" w:cs="Arial"/>
          <w:b/>
          <w:sz w:val="24"/>
          <w:szCs w:val="24"/>
        </w:rPr>
      </w:pPr>
    </w:p>
    <w:p w14:paraId="6ED18B5F" w14:textId="77777777" w:rsidR="006F0715" w:rsidRDefault="006F0715" w:rsidP="006F0715">
      <w:pPr>
        <w:jc w:val="both"/>
        <w:rPr>
          <w:rFonts w:ascii="Arial" w:hAnsi="Arial" w:cs="Arial"/>
          <w:b/>
          <w:sz w:val="24"/>
          <w:szCs w:val="24"/>
        </w:rPr>
      </w:pPr>
    </w:p>
    <w:p w14:paraId="77DCBD96" w14:textId="77777777" w:rsidR="006F0715" w:rsidRDefault="006F0715" w:rsidP="006F0715">
      <w:pPr>
        <w:jc w:val="both"/>
        <w:rPr>
          <w:rFonts w:ascii="Arial" w:hAnsi="Arial" w:cs="Arial"/>
          <w:b/>
          <w:sz w:val="24"/>
          <w:szCs w:val="24"/>
        </w:rPr>
      </w:pPr>
    </w:p>
    <w:p w14:paraId="6A6209EB" w14:textId="77777777" w:rsidR="006F0715" w:rsidRDefault="006F0715" w:rsidP="006F0715">
      <w:pPr>
        <w:jc w:val="both"/>
        <w:rPr>
          <w:rFonts w:ascii="Arial" w:hAnsi="Arial" w:cs="Arial"/>
          <w:b/>
          <w:sz w:val="24"/>
          <w:szCs w:val="24"/>
        </w:rPr>
      </w:pPr>
    </w:p>
    <w:p w14:paraId="4E2361E6" w14:textId="77777777" w:rsidR="006F0715" w:rsidRPr="00ED4599" w:rsidRDefault="006F0715" w:rsidP="006F0715">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F0715" w:rsidRPr="007357A1" w14:paraId="1EA0A859" w14:textId="77777777" w:rsidTr="00475370">
        <w:tc>
          <w:tcPr>
            <w:tcW w:w="2586" w:type="dxa"/>
            <w:tcBorders>
              <w:top w:val="nil"/>
              <w:bottom w:val="single" w:sz="18" w:space="0" w:color="FFFFFF"/>
            </w:tcBorders>
            <w:shd w:val="clear" w:color="auto" w:fill="D8DFDE"/>
          </w:tcPr>
          <w:p w14:paraId="3E6F931D" w14:textId="77777777" w:rsidR="006F0715" w:rsidRPr="007357A1" w:rsidRDefault="006F0715" w:rsidP="00475370">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596BA237" w14:textId="428ACBF5" w:rsidR="006F0715" w:rsidRPr="007357A1" w:rsidRDefault="00475370" w:rsidP="00475370">
            <w:pPr>
              <w:pStyle w:val="1bodycopy11pt"/>
              <w:rPr>
                <w:color w:val="000000" w:themeColor="text1"/>
                <w:sz w:val="24"/>
              </w:rPr>
            </w:pPr>
            <w:r>
              <w:rPr>
                <w:color w:val="000000" w:themeColor="text1"/>
                <w:sz w:val="24"/>
              </w:rPr>
              <w:t xml:space="preserve">Rachel Smith </w:t>
            </w:r>
          </w:p>
        </w:tc>
        <w:tc>
          <w:tcPr>
            <w:tcW w:w="3866" w:type="dxa"/>
            <w:tcBorders>
              <w:top w:val="nil"/>
              <w:bottom w:val="single" w:sz="18" w:space="0" w:color="FFFFFF"/>
            </w:tcBorders>
            <w:shd w:val="clear" w:color="auto" w:fill="D8DFDE"/>
          </w:tcPr>
          <w:p w14:paraId="113AFA4A" w14:textId="77777777" w:rsidR="006F0715" w:rsidRPr="007357A1" w:rsidRDefault="006F0715" w:rsidP="00475370">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6F0715" w:rsidRPr="007357A1" w14:paraId="28FE49D7" w14:textId="77777777" w:rsidTr="00475370">
        <w:tc>
          <w:tcPr>
            <w:tcW w:w="2586" w:type="dxa"/>
            <w:tcBorders>
              <w:top w:val="single" w:sz="18" w:space="0" w:color="FFFFFF"/>
              <w:bottom w:val="single" w:sz="18" w:space="0" w:color="FFFFFF"/>
            </w:tcBorders>
            <w:shd w:val="clear" w:color="auto" w:fill="D8DFDE"/>
          </w:tcPr>
          <w:p w14:paraId="14673268" w14:textId="77777777" w:rsidR="006F0715" w:rsidRPr="007357A1" w:rsidRDefault="006F0715" w:rsidP="00475370">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56056B9D" w14:textId="77777777" w:rsidR="006F0715" w:rsidRPr="007357A1" w:rsidRDefault="006F0715" w:rsidP="00475370">
            <w:pPr>
              <w:pStyle w:val="1bodycopy11pt"/>
              <w:rPr>
                <w:color w:val="000000" w:themeColor="text1"/>
                <w:sz w:val="24"/>
              </w:rPr>
            </w:pPr>
            <w:r w:rsidRPr="007357A1">
              <w:rPr>
                <w:color w:val="000000" w:themeColor="text1"/>
                <w:sz w:val="24"/>
              </w:rPr>
              <w:t xml:space="preserve">July 2025  </w:t>
            </w:r>
          </w:p>
        </w:tc>
      </w:tr>
      <w:tr w:rsidR="006F0715" w:rsidRPr="007357A1" w14:paraId="215125F2" w14:textId="77777777" w:rsidTr="00475370">
        <w:tc>
          <w:tcPr>
            <w:tcW w:w="2586" w:type="dxa"/>
            <w:tcBorders>
              <w:top w:val="single" w:sz="18" w:space="0" w:color="FFFFFF"/>
              <w:bottom w:val="nil"/>
            </w:tcBorders>
            <w:shd w:val="clear" w:color="auto" w:fill="D8DFDE"/>
          </w:tcPr>
          <w:p w14:paraId="3E6394D9" w14:textId="77777777" w:rsidR="006F0715" w:rsidRPr="007357A1" w:rsidRDefault="006F0715" w:rsidP="00475370">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0D521736" w14:textId="77777777" w:rsidR="006F0715" w:rsidRPr="007357A1" w:rsidRDefault="006F0715" w:rsidP="00475370">
            <w:pPr>
              <w:pStyle w:val="1bodycopy11pt"/>
              <w:rPr>
                <w:color w:val="000000" w:themeColor="text1"/>
                <w:sz w:val="24"/>
              </w:rPr>
            </w:pPr>
            <w:r w:rsidRPr="007357A1">
              <w:rPr>
                <w:color w:val="000000" w:themeColor="text1"/>
                <w:sz w:val="24"/>
              </w:rPr>
              <w:t>July 2026</w:t>
            </w:r>
          </w:p>
        </w:tc>
      </w:tr>
    </w:tbl>
    <w:p w14:paraId="103503D4" w14:textId="77777777" w:rsidR="009520B5" w:rsidRDefault="009520B5" w:rsidP="00B14F20">
      <w:pPr>
        <w:ind w:left="426" w:hanging="420"/>
        <w:jc w:val="center"/>
        <w:rPr>
          <w:rFonts w:ascii="Arial" w:hAnsi="Arial" w:cs="Arial"/>
          <w:b/>
          <w:bCs/>
          <w:sz w:val="32"/>
          <w:szCs w:val="32"/>
          <w:u w:val="single"/>
        </w:rPr>
      </w:pPr>
    </w:p>
    <w:p w14:paraId="303DCBCE" w14:textId="77777777" w:rsidR="009520B5" w:rsidRDefault="009520B5" w:rsidP="00B14F20">
      <w:pPr>
        <w:ind w:left="426" w:hanging="420"/>
        <w:jc w:val="center"/>
        <w:rPr>
          <w:rFonts w:ascii="Arial" w:hAnsi="Arial" w:cs="Arial"/>
          <w:b/>
          <w:bCs/>
          <w:sz w:val="32"/>
          <w:szCs w:val="32"/>
          <w:u w:val="single"/>
        </w:rPr>
      </w:pPr>
    </w:p>
    <w:p w14:paraId="0B311782" w14:textId="77777777" w:rsidR="006439D5" w:rsidRDefault="006439D5" w:rsidP="006439D5">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t>Contents</w:t>
      </w:r>
    </w:p>
    <w:p w14:paraId="755F9816" w14:textId="77777777" w:rsidR="006439D5" w:rsidRPr="00A50546" w:rsidRDefault="006439D5" w:rsidP="006439D5"/>
    <w:p w14:paraId="6F5A773B" w14:textId="49232318" w:rsidR="006439D5" w:rsidRPr="007357A1" w:rsidRDefault="006439D5" w:rsidP="006439D5">
      <w:pPr>
        <w:pStyle w:val="TOC1"/>
        <w:tabs>
          <w:tab w:val="right" w:leader="dot" w:pos="9736"/>
        </w:tabs>
        <w:rPr>
          <w:rFonts w:eastAsia="Times New Roman" w:cs="Arial"/>
          <w:color w:val="000000" w:themeColor="text1"/>
          <w:lang w:eastAsia="en-GB"/>
        </w:rPr>
      </w:pPr>
      <w:r w:rsidRPr="007357A1">
        <w:rPr>
          <w:rFonts w:eastAsia="MS Mincho" w:cs="Arial"/>
          <w:color w:val="000000" w:themeColor="text1"/>
          <w:sz w:val="20"/>
          <w:lang w:val="en-US"/>
        </w:rPr>
        <w:fldChar w:fldCharType="begin"/>
      </w:r>
      <w:r w:rsidRPr="007357A1">
        <w:rPr>
          <w:rFonts w:cs="Arial"/>
          <w:color w:val="000000" w:themeColor="text1"/>
        </w:rPr>
        <w:instrText xml:space="preserve"> TOC \o "1-3" \h \z \u </w:instrText>
      </w:r>
      <w:r w:rsidRPr="007357A1">
        <w:rPr>
          <w:rFonts w:eastAsia="MS Mincho" w:cs="Arial"/>
          <w:color w:val="000000" w:themeColor="text1"/>
          <w:sz w:val="20"/>
          <w:lang w:val="en-US"/>
        </w:rPr>
        <w:fldChar w:fldCharType="separate"/>
      </w:r>
      <w:hyperlink w:anchor="_Toc58247234" w:history="1">
        <w:r w:rsidRPr="007357A1">
          <w:rPr>
            <w:rStyle w:val="Hyperlink"/>
            <w:color w:val="000000" w:themeColor="text1"/>
          </w:rPr>
          <w:t xml:space="preserve">1. </w:t>
        </w:r>
        <w:r>
          <w:rPr>
            <w:rStyle w:val="Hyperlink"/>
            <w:color w:val="000000" w:themeColor="text1"/>
          </w:rPr>
          <w:t>Policy statement</w:t>
        </w:r>
        <w:r w:rsidRPr="007357A1">
          <w:rPr>
            <w:rFonts w:cs="Arial"/>
            <w:webHidden/>
            <w:color w:val="000000" w:themeColor="text1"/>
          </w:rPr>
          <w:tab/>
        </w:r>
        <w:r>
          <w:rPr>
            <w:rFonts w:cs="Arial"/>
            <w:webHidden/>
            <w:color w:val="000000" w:themeColor="text1"/>
          </w:rPr>
          <w:t>2</w:t>
        </w:r>
      </w:hyperlink>
    </w:p>
    <w:p w14:paraId="7C9CFA5B" w14:textId="4ED91ED4" w:rsidR="006439D5" w:rsidRPr="007357A1" w:rsidRDefault="006439D5" w:rsidP="006439D5">
      <w:pPr>
        <w:pStyle w:val="TOC1"/>
        <w:tabs>
          <w:tab w:val="right" w:leader="dot" w:pos="9736"/>
        </w:tabs>
        <w:rPr>
          <w:rFonts w:eastAsia="Times New Roman" w:cs="Arial"/>
          <w:color w:val="000000" w:themeColor="text1"/>
          <w:lang w:eastAsia="en-GB"/>
        </w:rPr>
      </w:pPr>
      <w:hyperlink w:anchor="_Toc58247235" w:history="1">
        <w:r w:rsidRPr="007357A1">
          <w:rPr>
            <w:rStyle w:val="Hyperlink"/>
            <w:color w:val="000000" w:themeColor="text1"/>
          </w:rPr>
          <w:t>2.</w:t>
        </w:r>
        <w:r>
          <w:rPr>
            <w:rStyle w:val="Hyperlink"/>
            <w:color w:val="000000" w:themeColor="text1"/>
          </w:rPr>
          <w:t xml:space="preserve"> </w:t>
        </w:r>
        <w:r w:rsidR="009431A2">
          <w:rPr>
            <w:rFonts w:eastAsia="Arial" w:cs="Arial"/>
          </w:rPr>
          <w:t>Scope</w:t>
        </w:r>
        <w:r w:rsidRPr="007357A1">
          <w:rPr>
            <w:rFonts w:cs="Arial"/>
            <w:webHidden/>
            <w:color w:val="000000" w:themeColor="text1"/>
          </w:rPr>
          <w:tab/>
        </w:r>
        <w:r w:rsidR="009431A2">
          <w:rPr>
            <w:rFonts w:cs="Arial"/>
            <w:webHidden/>
            <w:color w:val="000000" w:themeColor="text1"/>
          </w:rPr>
          <w:t>2</w:t>
        </w:r>
      </w:hyperlink>
    </w:p>
    <w:p w14:paraId="2E53444B" w14:textId="18379CF7" w:rsidR="009431A2" w:rsidRPr="007357A1" w:rsidRDefault="006439D5" w:rsidP="009431A2">
      <w:pPr>
        <w:pStyle w:val="TOC1"/>
        <w:tabs>
          <w:tab w:val="right" w:leader="dot" w:pos="9736"/>
        </w:tabs>
        <w:rPr>
          <w:rFonts w:eastAsia="Times New Roman" w:cs="Arial"/>
          <w:color w:val="000000" w:themeColor="text1"/>
          <w:lang w:eastAsia="en-GB"/>
        </w:rPr>
      </w:pPr>
      <w:r w:rsidRPr="007357A1">
        <w:rPr>
          <w:rFonts w:cs="Arial"/>
          <w:color w:val="000000" w:themeColor="text1"/>
        </w:rPr>
        <w:fldChar w:fldCharType="end"/>
      </w:r>
      <w:hyperlink w:anchor="_Toc58247235" w:history="1">
        <w:r w:rsidR="009431A2">
          <w:rPr>
            <w:rStyle w:val="Hyperlink"/>
            <w:color w:val="000000" w:themeColor="text1"/>
            <w:u w:val="none"/>
          </w:rPr>
          <w:t>3</w:t>
        </w:r>
        <w:r w:rsidR="009431A2" w:rsidRPr="009431A2">
          <w:rPr>
            <w:rStyle w:val="Hyperlink"/>
            <w:color w:val="000000" w:themeColor="text1"/>
            <w:u w:val="none"/>
          </w:rPr>
          <w:t xml:space="preserve">. </w:t>
        </w:r>
        <w:r w:rsidR="009431A2">
          <w:rPr>
            <w:rFonts w:eastAsia="Arial" w:cs="Arial"/>
          </w:rPr>
          <w:t>Pre-commencement</w:t>
        </w:r>
        <w:r w:rsidR="009431A2" w:rsidRPr="007357A1">
          <w:rPr>
            <w:rFonts w:cs="Arial"/>
            <w:webHidden/>
            <w:color w:val="000000" w:themeColor="text1"/>
          </w:rPr>
          <w:tab/>
        </w:r>
        <w:r w:rsidR="009431A2">
          <w:rPr>
            <w:rFonts w:cs="Arial"/>
            <w:webHidden/>
            <w:color w:val="000000" w:themeColor="text1"/>
          </w:rPr>
          <w:t>2</w:t>
        </w:r>
      </w:hyperlink>
    </w:p>
    <w:p w14:paraId="0AC063CC" w14:textId="33863605" w:rsidR="006439D5" w:rsidRPr="007357A1" w:rsidRDefault="009431A2" w:rsidP="006439D5">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4</w:t>
        </w:r>
        <w:r w:rsidRPr="009431A2">
          <w:rPr>
            <w:rStyle w:val="Hyperlink"/>
            <w:color w:val="000000" w:themeColor="text1"/>
            <w:u w:val="none"/>
          </w:rPr>
          <w:t xml:space="preserve">. </w:t>
        </w:r>
        <w:r>
          <w:rPr>
            <w:rFonts w:eastAsia="Arial" w:cs="Arial"/>
          </w:rPr>
          <w:t>Company induction</w:t>
        </w:r>
        <w:r w:rsidRPr="007357A1">
          <w:rPr>
            <w:rFonts w:cs="Arial"/>
            <w:webHidden/>
            <w:color w:val="000000" w:themeColor="text1"/>
          </w:rPr>
          <w:tab/>
        </w:r>
        <w:r>
          <w:rPr>
            <w:rFonts w:cs="Arial"/>
            <w:webHidden/>
            <w:color w:val="000000" w:themeColor="text1"/>
          </w:rPr>
          <w:t>3</w:t>
        </w:r>
      </w:hyperlink>
    </w:p>
    <w:p w14:paraId="3A4C2277" w14:textId="6F2E9F66" w:rsidR="009431A2" w:rsidRPr="007357A1" w:rsidRDefault="009431A2" w:rsidP="009431A2">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5</w:t>
        </w:r>
        <w:r w:rsidRPr="009431A2">
          <w:rPr>
            <w:rStyle w:val="Hyperlink"/>
            <w:color w:val="000000" w:themeColor="text1"/>
            <w:u w:val="none"/>
          </w:rPr>
          <w:t xml:space="preserve">. </w:t>
        </w:r>
        <w:r>
          <w:rPr>
            <w:rFonts w:eastAsia="Arial" w:cs="Arial"/>
          </w:rPr>
          <w:t>Reviews</w:t>
        </w:r>
        <w:r w:rsidRPr="007357A1">
          <w:rPr>
            <w:rFonts w:cs="Arial"/>
            <w:webHidden/>
            <w:color w:val="000000" w:themeColor="text1"/>
          </w:rPr>
          <w:tab/>
        </w:r>
        <w:r>
          <w:rPr>
            <w:rFonts w:cs="Arial"/>
            <w:webHidden/>
            <w:color w:val="000000" w:themeColor="text1"/>
          </w:rPr>
          <w:t>4</w:t>
        </w:r>
      </w:hyperlink>
    </w:p>
    <w:p w14:paraId="7D81E51E" w14:textId="304E0A6F" w:rsidR="009431A2" w:rsidRPr="007357A1" w:rsidRDefault="009431A2" w:rsidP="009431A2">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6</w:t>
        </w:r>
        <w:r w:rsidRPr="009431A2">
          <w:rPr>
            <w:rStyle w:val="Hyperlink"/>
            <w:color w:val="000000" w:themeColor="text1"/>
            <w:u w:val="none"/>
          </w:rPr>
          <w:t xml:space="preserve">. </w:t>
        </w:r>
        <w:r>
          <w:rPr>
            <w:rFonts w:eastAsia="Arial" w:cs="Arial"/>
          </w:rPr>
          <w:t>Mentors</w:t>
        </w:r>
        <w:r w:rsidRPr="007357A1">
          <w:rPr>
            <w:rFonts w:cs="Arial"/>
            <w:webHidden/>
            <w:color w:val="000000" w:themeColor="text1"/>
          </w:rPr>
          <w:tab/>
        </w:r>
        <w:r>
          <w:rPr>
            <w:rFonts w:cs="Arial"/>
            <w:webHidden/>
            <w:color w:val="000000" w:themeColor="text1"/>
          </w:rPr>
          <w:t>4</w:t>
        </w:r>
      </w:hyperlink>
    </w:p>
    <w:p w14:paraId="5679FBB0" w14:textId="312DD12A" w:rsidR="009431A2" w:rsidRPr="007357A1" w:rsidRDefault="009431A2" w:rsidP="009431A2">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7</w:t>
        </w:r>
        <w:r w:rsidRPr="009431A2">
          <w:rPr>
            <w:rStyle w:val="Hyperlink"/>
            <w:color w:val="000000" w:themeColor="text1"/>
            <w:u w:val="none"/>
          </w:rPr>
          <w:t xml:space="preserve">. </w:t>
        </w:r>
        <w:r>
          <w:rPr>
            <w:rFonts w:eastAsia="Arial" w:cs="Arial"/>
          </w:rPr>
          <w:t>Coaching</w:t>
        </w:r>
        <w:r w:rsidRPr="007357A1">
          <w:rPr>
            <w:rFonts w:cs="Arial"/>
            <w:webHidden/>
            <w:color w:val="000000" w:themeColor="text1"/>
          </w:rPr>
          <w:tab/>
        </w:r>
        <w:r>
          <w:rPr>
            <w:rFonts w:cs="Arial"/>
            <w:webHidden/>
            <w:color w:val="000000" w:themeColor="text1"/>
          </w:rPr>
          <w:t>5</w:t>
        </w:r>
      </w:hyperlink>
    </w:p>
    <w:p w14:paraId="24D51CC5" w14:textId="25C12F92" w:rsidR="009431A2" w:rsidRPr="007357A1" w:rsidRDefault="009431A2" w:rsidP="009431A2">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8</w:t>
        </w:r>
        <w:r w:rsidRPr="009431A2">
          <w:rPr>
            <w:rStyle w:val="Hyperlink"/>
            <w:color w:val="000000" w:themeColor="text1"/>
            <w:u w:val="none"/>
          </w:rPr>
          <w:t xml:space="preserve">. </w:t>
        </w:r>
        <w:r>
          <w:rPr>
            <w:rFonts w:eastAsia="Arial" w:cs="Arial"/>
          </w:rPr>
          <w:t>Monitoring arragements</w:t>
        </w:r>
        <w:r w:rsidRPr="007357A1">
          <w:rPr>
            <w:rFonts w:cs="Arial"/>
            <w:webHidden/>
            <w:color w:val="000000" w:themeColor="text1"/>
          </w:rPr>
          <w:tab/>
        </w:r>
        <w:r>
          <w:rPr>
            <w:rFonts w:cs="Arial"/>
            <w:webHidden/>
            <w:color w:val="000000" w:themeColor="text1"/>
          </w:rPr>
          <w:t>5</w:t>
        </w:r>
      </w:hyperlink>
    </w:p>
    <w:p w14:paraId="724AB39C" w14:textId="692B19B3" w:rsidR="009431A2" w:rsidRPr="007357A1" w:rsidRDefault="009431A2" w:rsidP="009431A2">
      <w:pPr>
        <w:pStyle w:val="TOC1"/>
        <w:tabs>
          <w:tab w:val="right" w:leader="dot" w:pos="9736"/>
        </w:tabs>
        <w:rPr>
          <w:rFonts w:eastAsia="Times New Roman" w:cs="Arial"/>
          <w:color w:val="000000" w:themeColor="text1"/>
          <w:lang w:eastAsia="en-GB"/>
        </w:rPr>
      </w:pPr>
      <w:hyperlink w:anchor="_Toc58247235" w:history="1">
        <w:r>
          <w:rPr>
            <w:rStyle w:val="Hyperlink"/>
            <w:color w:val="000000" w:themeColor="text1"/>
            <w:u w:val="none"/>
          </w:rPr>
          <w:t>9</w:t>
        </w:r>
        <w:r w:rsidRPr="009431A2">
          <w:rPr>
            <w:rStyle w:val="Hyperlink"/>
            <w:color w:val="000000" w:themeColor="text1"/>
            <w:u w:val="none"/>
          </w:rPr>
          <w:t xml:space="preserve">. </w:t>
        </w:r>
        <w:r>
          <w:rPr>
            <w:rFonts w:eastAsia="Arial" w:cs="Arial"/>
          </w:rPr>
          <w:t>Linked policies</w:t>
        </w:r>
        <w:r w:rsidRPr="007357A1">
          <w:rPr>
            <w:rFonts w:cs="Arial"/>
            <w:webHidden/>
            <w:color w:val="000000" w:themeColor="text1"/>
          </w:rPr>
          <w:tab/>
        </w:r>
        <w:r>
          <w:rPr>
            <w:rFonts w:cs="Arial"/>
            <w:webHidden/>
            <w:color w:val="000000" w:themeColor="text1"/>
          </w:rPr>
          <w:t>5</w:t>
        </w:r>
      </w:hyperlink>
    </w:p>
    <w:p w14:paraId="56DC8C9A" w14:textId="660ACFE4" w:rsidR="004613C8" w:rsidRPr="006F0715" w:rsidRDefault="004613C8" w:rsidP="006F0715">
      <w:pPr>
        <w:jc w:val="both"/>
        <w:rPr>
          <w:rFonts w:ascii="Arial" w:hAnsi="Arial" w:cs="Arial"/>
          <w:b/>
          <w:bCs/>
        </w:rPr>
      </w:pPr>
    </w:p>
    <w:p w14:paraId="47D63B30" w14:textId="77777777" w:rsidR="004613C8" w:rsidRDefault="004613C8" w:rsidP="004613C8">
      <w:pPr>
        <w:pStyle w:val="ListParagraph"/>
        <w:ind w:left="426"/>
        <w:jc w:val="both"/>
        <w:rPr>
          <w:rFonts w:ascii="Arial" w:hAnsi="Arial" w:cs="Arial"/>
          <w:b/>
          <w:bCs/>
        </w:rPr>
      </w:pPr>
    </w:p>
    <w:p w14:paraId="4340AAE0" w14:textId="0CC5968F" w:rsidR="004613C8" w:rsidRDefault="009431A2" w:rsidP="009431A2">
      <w:pPr>
        <w:pStyle w:val="ListParagraph"/>
        <w:numPr>
          <w:ilvl w:val="0"/>
          <w:numId w:val="6"/>
        </w:numPr>
        <w:jc w:val="both"/>
        <w:rPr>
          <w:rFonts w:ascii="Arial" w:hAnsi="Arial" w:cs="Arial"/>
          <w:b/>
          <w:bCs/>
        </w:rPr>
      </w:pPr>
      <w:r>
        <w:rPr>
          <w:rFonts w:ascii="Arial" w:hAnsi="Arial" w:cs="Arial"/>
          <w:b/>
          <w:bCs/>
        </w:rPr>
        <w:t xml:space="preserve">Policy statement </w:t>
      </w:r>
    </w:p>
    <w:p w14:paraId="5904C1DD" w14:textId="77777777" w:rsidR="009431A2" w:rsidRPr="009431A2" w:rsidRDefault="009431A2" w:rsidP="009431A2">
      <w:pPr>
        <w:pStyle w:val="ListParagraph"/>
        <w:jc w:val="both"/>
        <w:rPr>
          <w:rFonts w:ascii="Arial" w:hAnsi="Arial" w:cs="Arial"/>
          <w:b/>
          <w:bCs/>
        </w:rPr>
      </w:pPr>
    </w:p>
    <w:p w14:paraId="22E81FF5"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The purpose of the induction policy is to ensure that all employees are provided with a properly structured induction programme, providing them with key information about the Company quickly, in order to help them to integrate into their role in the Company effectively during the remainder of their probationary period.</w:t>
      </w:r>
    </w:p>
    <w:p w14:paraId="3E1EB68C" w14:textId="77777777" w:rsidR="004613C8" w:rsidRPr="004613C8" w:rsidRDefault="004613C8" w:rsidP="004613C8">
      <w:pPr>
        <w:spacing w:after="0" w:line="240" w:lineRule="auto"/>
        <w:jc w:val="both"/>
        <w:rPr>
          <w:rFonts w:ascii="Arial" w:eastAsia="Calibri" w:hAnsi="Arial" w:cs="Arial"/>
          <w:sz w:val="24"/>
          <w:szCs w:val="24"/>
        </w:rPr>
      </w:pPr>
    </w:p>
    <w:p w14:paraId="3B4DE9B5"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Company induction is designed to start off by providing all new employees with the same key information. It will then be adjusted by line managers to suit the individual needs of the employee’s new job role. </w:t>
      </w:r>
    </w:p>
    <w:p w14:paraId="370B9E38" w14:textId="77777777" w:rsidR="004613C8" w:rsidRPr="004613C8" w:rsidRDefault="004613C8" w:rsidP="004613C8">
      <w:pPr>
        <w:spacing w:after="0" w:line="240" w:lineRule="auto"/>
        <w:jc w:val="both"/>
        <w:rPr>
          <w:rFonts w:ascii="Arial" w:eastAsia="Calibri" w:hAnsi="Arial" w:cs="Arial"/>
          <w:sz w:val="24"/>
          <w:szCs w:val="24"/>
        </w:rPr>
      </w:pPr>
    </w:p>
    <w:p w14:paraId="53C19F89" w14:textId="67B96063" w:rsidR="004613C8" w:rsidRPr="004613C8" w:rsidRDefault="004613C8" w:rsidP="004613C8">
      <w:pPr>
        <w:spacing w:after="0" w:line="240" w:lineRule="auto"/>
        <w:jc w:val="both"/>
        <w:rPr>
          <w:rFonts w:ascii="Arial" w:eastAsia="Calibri" w:hAnsi="Arial" w:cs="Arial"/>
          <w:sz w:val="24"/>
          <w:szCs w:val="24"/>
        </w:rPr>
      </w:pPr>
      <w:r w:rsidRPr="57FC8F10">
        <w:rPr>
          <w:rFonts w:ascii="Arial" w:eastAsia="Calibri" w:hAnsi="Arial" w:cs="Arial"/>
          <w:sz w:val="24"/>
          <w:szCs w:val="24"/>
        </w:rPr>
        <w:t>The Company is proud to be an equal opportunities employer. Employees, as well as prospective employees, will all be treated equally and fairly. The Company is committed to ensuring no less favourable treatment is experienced by any employee</w:t>
      </w:r>
      <w:r w:rsidR="389020E8" w:rsidRPr="57FC8F10">
        <w:rPr>
          <w:rFonts w:ascii="Arial" w:eastAsia="Calibri" w:hAnsi="Arial" w:cs="Arial"/>
          <w:sz w:val="24"/>
          <w:szCs w:val="24"/>
        </w:rPr>
        <w:t xml:space="preserve"> </w:t>
      </w:r>
      <w:r w:rsidRPr="57FC8F10">
        <w:rPr>
          <w:rFonts w:ascii="Arial" w:eastAsia="Calibri" w:hAnsi="Arial" w:cs="Arial"/>
          <w:sz w:val="24"/>
          <w:szCs w:val="24"/>
        </w:rPr>
        <w:t xml:space="preserve"> or prospective employee because of any of the protected characteristics under the </w:t>
      </w:r>
      <w:r w:rsidR="46481B29" w:rsidRPr="57FC8F10">
        <w:rPr>
          <w:rFonts w:ascii="Arial" w:eastAsia="Calibri" w:hAnsi="Arial" w:cs="Arial"/>
          <w:sz w:val="24"/>
          <w:szCs w:val="24"/>
        </w:rPr>
        <w:t xml:space="preserve"> </w:t>
      </w:r>
      <w:r w:rsidRPr="57FC8F10">
        <w:rPr>
          <w:rFonts w:ascii="Arial" w:eastAsia="Calibri" w:hAnsi="Arial" w:cs="Arial"/>
          <w:sz w:val="24"/>
          <w:szCs w:val="24"/>
        </w:rPr>
        <w:t xml:space="preserve">Equality Act 2010. </w:t>
      </w:r>
    </w:p>
    <w:p w14:paraId="461238C4" w14:textId="77777777" w:rsidR="004613C8" w:rsidRPr="004613C8" w:rsidRDefault="004613C8" w:rsidP="004613C8">
      <w:pPr>
        <w:spacing w:after="0" w:line="240" w:lineRule="auto"/>
        <w:jc w:val="both"/>
        <w:rPr>
          <w:rFonts w:ascii="Arial" w:eastAsia="Calibri" w:hAnsi="Arial" w:cs="Arial"/>
          <w:sz w:val="24"/>
          <w:szCs w:val="24"/>
        </w:rPr>
      </w:pPr>
    </w:p>
    <w:p w14:paraId="4418838E" w14:textId="2928B321" w:rsidR="004613C8" w:rsidRPr="009431A2" w:rsidRDefault="004613C8" w:rsidP="009431A2">
      <w:pPr>
        <w:pStyle w:val="ListParagraph"/>
        <w:numPr>
          <w:ilvl w:val="0"/>
          <w:numId w:val="6"/>
        </w:numPr>
        <w:jc w:val="both"/>
        <w:rPr>
          <w:rFonts w:ascii="Arial" w:hAnsi="Arial" w:cs="Arial"/>
          <w:b/>
          <w:bCs/>
        </w:rPr>
      </w:pPr>
      <w:r w:rsidRPr="009431A2">
        <w:rPr>
          <w:rFonts w:ascii="Arial" w:hAnsi="Arial" w:cs="Arial"/>
          <w:b/>
          <w:bCs/>
        </w:rPr>
        <w:t>S</w:t>
      </w:r>
      <w:r w:rsidR="009431A2" w:rsidRPr="009431A2">
        <w:rPr>
          <w:rFonts w:ascii="Arial" w:hAnsi="Arial" w:cs="Arial"/>
          <w:b/>
          <w:bCs/>
        </w:rPr>
        <w:t>cope</w:t>
      </w:r>
    </w:p>
    <w:p w14:paraId="7B7BBBF1" w14:textId="77777777" w:rsidR="004613C8" w:rsidRPr="004613C8" w:rsidRDefault="004613C8" w:rsidP="004613C8">
      <w:pPr>
        <w:spacing w:after="0" w:line="240" w:lineRule="auto"/>
        <w:jc w:val="both"/>
        <w:rPr>
          <w:rFonts w:ascii="Arial" w:eastAsia="Times New Roman" w:hAnsi="Arial" w:cs="Arial"/>
          <w:b/>
          <w:bCs/>
          <w:sz w:val="24"/>
          <w:szCs w:val="24"/>
        </w:rPr>
      </w:pPr>
    </w:p>
    <w:p w14:paraId="54E61931"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This policy relates to all newly appointed employees of the Company, as well as any existing employees that move to a new job role within the Company. Existing employees in particular are expected to be proactive during their induction into their new job role; this may be shorter than would have been provided to a newly appointed employee. In all instances, the induction ensures that employees receive the relevant information and support from appropriate sources to enable them to apply themselves to their new job role fully. </w:t>
      </w:r>
    </w:p>
    <w:p w14:paraId="1A614465" w14:textId="77777777" w:rsidR="004613C8" w:rsidRPr="004613C8" w:rsidRDefault="004613C8" w:rsidP="004613C8">
      <w:pPr>
        <w:spacing w:after="0" w:line="240" w:lineRule="auto"/>
        <w:jc w:val="both"/>
        <w:rPr>
          <w:rFonts w:ascii="Arial" w:eastAsia="Calibri" w:hAnsi="Arial" w:cs="Arial"/>
          <w:sz w:val="24"/>
          <w:szCs w:val="24"/>
        </w:rPr>
      </w:pPr>
    </w:p>
    <w:p w14:paraId="3570D2BC" w14:textId="77777777" w:rsidR="009431A2" w:rsidRPr="009431A2" w:rsidRDefault="004613C8" w:rsidP="009431A2">
      <w:pPr>
        <w:pStyle w:val="ListParagraph"/>
        <w:numPr>
          <w:ilvl w:val="0"/>
          <w:numId w:val="6"/>
        </w:numPr>
        <w:jc w:val="both"/>
        <w:rPr>
          <w:rFonts w:ascii="Arial" w:eastAsia="Calibri" w:hAnsi="Arial" w:cs="Arial"/>
          <w:b/>
          <w:bCs/>
          <w:color w:val="000000" w:themeColor="text1"/>
        </w:rPr>
      </w:pPr>
      <w:r w:rsidRPr="009431A2">
        <w:rPr>
          <w:rFonts w:ascii="Arial" w:hAnsi="Arial" w:cs="Arial"/>
          <w:b/>
          <w:bCs/>
          <w:color w:val="000000" w:themeColor="text1"/>
        </w:rPr>
        <w:t>P</w:t>
      </w:r>
      <w:r w:rsidR="009431A2" w:rsidRPr="009431A2">
        <w:rPr>
          <w:rFonts w:ascii="Arial" w:hAnsi="Arial" w:cs="Arial"/>
          <w:b/>
          <w:bCs/>
          <w:color w:val="000000" w:themeColor="text1"/>
        </w:rPr>
        <w:t xml:space="preserve">re-commencement induction pack </w:t>
      </w:r>
    </w:p>
    <w:p w14:paraId="18F5399F" w14:textId="77777777" w:rsidR="009431A2" w:rsidRDefault="009431A2" w:rsidP="009431A2">
      <w:pPr>
        <w:jc w:val="both"/>
        <w:rPr>
          <w:rFonts w:ascii="Arial" w:eastAsia="Calibri" w:hAnsi="Arial" w:cs="Arial"/>
        </w:rPr>
      </w:pPr>
    </w:p>
    <w:p w14:paraId="5F7E56B8" w14:textId="77777777" w:rsidR="004613C8" w:rsidRPr="009431A2" w:rsidRDefault="004613C8" w:rsidP="009431A2">
      <w:pPr>
        <w:jc w:val="both"/>
        <w:rPr>
          <w:rFonts w:ascii="Arial" w:eastAsia="Calibri" w:hAnsi="Arial" w:cs="Arial"/>
          <w:sz w:val="24"/>
          <w:szCs w:val="24"/>
        </w:rPr>
      </w:pPr>
      <w:r w:rsidRPr="009431A2">
        <w:rPr>
          <w:rFonts w:ascii="Arial" w:eastAsia="Calibri" w:hAnsi="Arial" w:cs="Arial"/>
          <w:sz w:val="24"/>
          <w:szCs w:val="24"/>
        </w:rPr>
        <w:t xml:space="preserve">The Company will provide information to employees prior to the commencement of their employment, with an information pack sent to the new employee to provide them with information to assist with familiarisation of the Company and the workplace location. </w:t>
      </w:r>
    </w:p>
    <w:p w14:paraId="0CD1B986" w14:textId="77777777" w:rsidR="004613C8" w:rsidRPr="004613C8" w:rsidRDefault="004613C8" w:rsidP="004613C8">
      <w:pPr>
        <w:spacing w:after="0" w:line="240" w:lineRule="auto"/>
        <w:jc w:val="both"/>
        <w:rPr>
          <w:rFonts w:ascii="Arial" w:eastAsia="Calibri" w:hAnsi="Arial" w:cs="Arial"/>
          <w:sz w:val="24"/>
          <w:szCs w:val="24"/>
        </w:rPr>
      </w:pPr>
    </w:p>
    <w:p w14:paraId="02A1F200" w14:textId="4F0CD759" w:rsidR="004613C8" w:rsidRPr="00B14F20"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information will be general high-level information on how the Company operates and the work done by the various departments within the Company. The history of the Company will be laid out along with the business plan and aspirations for the Company going forward. Employees that have been promoted or transferred will not receive this pack. </w:t>
      </w:r>
    </w:p>
    <w:p w14:paraId="01052426" w14:textId="77777777" w:rsidR="004613C8" w:rsidRPr="004613C8" w:rsidRDefault="004613C8" w:rsidP="004613C8">
      <w:pPr>
        <w:spacing w:after="0" w:line="240" w:lineRule="auto"/>
        <w:jc w:val="both"/>
        <w:rPr>
          <w:rFonts w:ascii="Arial" w:eastAsia="Calibri" w:hAnsi="Arial" w:cs="Arial"/>
          <w:color w:val="8064A2"/>
          <w:sz w:val="24"/>
          <w:szCs w:val="24"/>
        </w:rPr>
      </w:pPr>
    </w:p>
    <w:p w14:paraId="25D93C7E" w14:textId="35DD464B" w:rsidR="004613C8" w:rsidRPr="006439D5" w:rsidRDefault="009431A2" w:rsidP="009431A2">
      <w:pPr>
        <w:pStyle w:val="ListParagraph"/>
        <w:numPr>
          <w:ilvl w:val="0"/>
          <w:numId w:val="6"/>
        </w:numPr>
        <w:jc w:val="both"/>
        <w:rPr>
          <w:rFonts w:ascii="Arial" w:hAnsi="Arial" w:cs="Arial"/>
          <w:b/>
          <w:bCs/>
        </w:rPr>
      </w:pPr>
      <w:r>
        <w:rPr>
          <w:rFonts w:ascii="Arial" w:hAnsi="Arial" w:cs="Arial"/>
          <w:b/>
          <w:bCs/>
        </w:rPr>
        <w:t xml:space="preserve">Company induction </w:t>
      </w:r>
    </w:p>
    <w:p w14:paraId="19F281EC" w14:textId="77777777" w:rsidR="004613C8" w:rsidRPr="004613C8" w:rsidRDefault="004613C8" w:rsidP="004613C8">
      <w:pPr>
        <w:spacing w:after="0" w:line="240" w:lineRule="auto"/>
        <w:jc w:val="both"/>
        <w:rPr>
          <w:rFonts w:ascii="Arial" w:eastAsia="Times New Roman" w:hAnsi="Arial" w:cs="Arial"/>
          <w:b/>
          <w:bCs/>
          <w:sz w:val="24"/>
          <w:szCs w:val="24"/>
        </w:rPr>
      </w:pPr>
    </w:p>
    <w:p w14:paraId="799BBA41" w14:textId="1A55CEBD"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early stages of the Company induction provides an expansion of the </w:t>
      </w:r>
      <w:r w:rsidR="006E561D" w:rsidRPr="004613C8">
        <w:rPr>
          <w:rFonts w:ascii="Arial" w:eastAsia="Calibri" w:hAnsi="Arial" w:cs="Arial"/>
          <w:sz w:val="24"/>
          <w:szCs w:val="24"/>
        </w:rPr>
        <w:t>high-level</w:t>
      </w:r>
      <w:r w:rsidRPr="004613C8">
        <w:rPr>
          <w:rFonts w:ascii="Arial" w:eastAsia="Calibri" w:hAnsi="Arial" w:cs="Arial"/>
          <w:sz w:val="24"/>
          <w:szCs w:val="24"/>
        </w:rPr>
        <w:t xml:space="preserve"> information provided in the induction pack. </w:t>
      </w:r>
    </w:p>
    <w:p w14:paraId="664540D4" w14:textId="77777777" w:rsidR="004613C8" w:rsidRPr="004613C8" w:rsidRDefault="004613C8" w:rsidP="004613C8">
      <w:pPr>
        <w:spacing w:after="0" w:line="240" w:lineRule="auto"/>
        <w:jc w:val="both"/>
        <w:rPr>
          <w:rFonts w:ascii="Arial" w:eastAsia="Calibri" w:hAnsi="Arial" w:cs="Arial"/>
          <w:sz w:val="24"/>
          <w:szCs w:val="24"/>
        </w:rPr>
      </w:pPr>
    </w:p>
    <w:p w14:paraId="491CAAB6" w14:textId="3C972264"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aim of the induction is to introduce new employees to the Company, and to each other. The induction programme will help employees become orientated and understand the Company culture so that they know what is expected of them. </w:t>
      </w:r>
    </w:p>
    <w:p w14:paraId="6BCDD404" w14:textId="77777777" w:rsidR="004613C8" w:rsidRPr="004613C8" w:rsidRDefault="004613C8" w:rsidP="004613C8">
      <w:pPr>
        <w:spacing w:after="0" w:line="240" w:lineRule="auto"/>
        <w:jc w:val="both"/>
        <w:rPr>
          <w:rFonts w:ascii="Arial" w:eastAsia="Calibri" w:hAnsi="Arial" w:cs="Arial"/>
          <w:sz w:val="24"/>
          <w:szCs w:val="24"/>
        </w:rPr>
      </w:pPr>
    </w:p>
    <w:p w14:paraId="524B9DBB"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Content of the induction pack that was sent to the new employees will be supplemented with copies of the Company’s current policies and procedures. The induction will include an overview of each of the policies and attention will be drawn to key aspects. </w:t>
      </w:r>
    </w:p>
    <w:p w14:paraId="39EEE793" w14:textId="77777777" w:rsidR="004613C8" w:rsidRPr="004613C8" w:rsidRDefault="004613C8" w:rsidP="004613C8">
      <w:pPr>
        <w:spacing w:after="0" w:line="240" w:lineRule="auto"/>
        <w:jc w:val="both"/>
        <w:rPr>
          <w:rFonts w:ascii="Arial" w:eastAsia="Calibri" w:hAnsi="Arial" w:cs="Arial"/>
          <w:sz w:val="24"/>
          <w:szCs w:val="24"/>
        </w:rPr>
      </w:pPr>
    </w:p>
    <w:p w14:paraId="1D36C7AC"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The following information will also be provided:</w:t>
      </w:r>
    </w:p>
    <w:p w14:paraId="5996E015"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 </w:t>
      </w:r>
    </w:p>
    <w:p w14:paraId="2DBA8C72" w14:textId="3AAE5E47" w:rsidR="004613C8" w:rsidRPr="006439D5" w:rsidRDefault="004613C8" w:rsidP="006439D5">
      <w:pPr>
        <w:pStyle w:val="ListParagraph"/>
        <w:numPr>
          <w:ilvl w:val="0"/>
          <w:numId w:val="4"/>
        </w:numPr>
        <w:jc w:val="both"/>
        <w:rPr>
          <w:rFonts w:ascii="Arial" w:eastAsia="Calibri" w:hAnsi="Arial" w:cs="Arial"/>
        </w:rPr>
      </w:pPr>
      <w:r w:rsidRPr="006439D5">
        <w:rPr>
          <w:rFonts w:ascii="Arial" w:eastAsia="Calibri" w:hAnsi="Arial" w:cs="Arial"/>
        </w:rPr>
        <w:t>Employee Handbook including disciplinary and grievance procedure</w:t>
      </w:r>
      <w:r w:rsidR="00B14F20" w:rsidRPr="006439D5">
        <w:rPr>
          <w:rFonts w:ascii="Arial" w:eastAsia="Calibri" w:hAnsi="Arial" w:cs="Arial"/>
        </w:rPr>
        <w:t>.</w:t>
      </w:r>
    </w:p>
    <w:p w14:paraId="68AAADCE" w14:textId="6024888A" w:rsidR="004613C8" w:rsidRPr="006439D5" w:rsidRDefault="00470B99" w:rsidP="006439D5">
      <w:pPr>
        <w:pStyle w:val="ListParagraph"/>
        <w:numPr>
          <w:ilvl w:val="0"/>
          <w:numId w:val="4"/>
        </w:numPr>
        <w:jc w:val="both"/>
        <w:rPr>
          <w:rFonts w:ascii="Arial" w:eastAsia="Calibri" w:hAnsi="Arial" w:cs="Arial"/>
        </w:rPr>
      </w:pPr>
      <w:r w:rsidRPr="006439D5">
        <w:rPr>
          <w:rFonts w:ascii="Arial" w:eastAsia="Calibri" w:hAnsi="Arial" w:cs="Arial"/>
        </w:rPr>
        <w:t>T</w:t>
      </w:r>
      <w:r w:rsidR="004613C8" w:rsidRPr="006439D5">
        <w:rPr>
          <w:rFonts w:ascii="Arial" w:eastAsia="Calibri" w:hAnsi="Arial" w:cs="Arial"/>
        </w:rPr>
        <w:t>raining policy</w:t>
      </w:r>
      <w:r w:rsidR="00B14F20" w:rsidRPr="006439D5">
        <w:rPr>
          <w:rFonts w:ascii="Arial" w:eastAsia="Calibri" w:hAnsi="Arial" w:cs="Arial"/>
        </w:rPr>
        <w:t>.</w:t>
      </w:r>
    </w:p>
    <w:p w14:paraId="76DAA11B" w14:textId="7496F729" w:rsidR="004613C8" w:rsidRPr="006439D5" w:rsidRDefault="0075297F" w:rsidP="006439D5">
      <w:pPr>
        <w:pStyle w:val="ListParagraph"/>
        <w:numPr>
          <w:ilvl w:val="0"/>
          <w:numId w:val="4"/>
        </w:numPr>
        <w:jc w:val="both"/>
        <w:rPr>
          <w:rFonts w:ascii="Arial" w:eastAsia="Calibri" w:hAnsi="Arial" w:cs="Arial"/>
        </w:rPr>
      </w:pPr>
      <w:r w:rsidRPr="006439D5">
        <w:rPr>
          <w:rFonts w:ascii="Arial" w:eastAsia="Calibri" w:hAnsi="Arial" w:cs="Arial"/>
        </w:rPr>
        <w:t>Shared Practice Policy</w:t>
      </w:r>
      <w:r w:rsidR="00B14F20" w:rsidRPr="006439D5">
        <w:rPr>
          <w:rFonts w:ascii="Arial" w:eastAsia="Calibri" w:hAnsi="Arial" w:cs="Arial"/>
        </w:rPr>
        <w:t>.</w:t>
      </w:r>
    </w:p>
    <w:p w14:paraId="3C6390E1" w14:textId="5E94E8B6" w:rsidR="004613C8" w:rsidRPr="006439D5" w:rsidRDefault="0075297F" w:rsidP="006439D5">
      <w:pPr>
        <w:pStyle w:val="ListParagraph"/>
        <w:numPr>
          <w:ilvl w:val="0"/>
          <w:numId w:val="4"/>
        </w:numPr>
        <w:jc w:val="both"/>
        <w:rPr>
          <w:rFonts w:ascii="Arial" w:eastAsia="Calibri" w:hAnsi="Arial" w:cs="Arial"/>
        </w:rPr>
      </w:pPr>
      <w:r w:rsidRPr="006439D5">
        <w:rPr>
          <w:rFonts w:ascii="Arial" w:eastAsia="Calibri" w:hAnsi="Arial" w:cs="Arial"/>
        </w:rPr>
        <w:t>Single Equality Policy</w:t>
      </w:r>
      <w:r w:rsidR="00B14F20" w:rsidRPr="006439D5">
        <w:rPr>
          <w:rFonts w:ascii="Arial" w:eastAsia="Calibri" w:hAnsi="Arial" w:cs="Arial"/>
        </w:rPr>
        <w:t>.</w:t>
      </w:r>
      <w:r w:rsidRPr="006439D5">
        <w:rPr>
          <w:rFonts w:ascii="Arial" w:eastAsia="Calibri" w:hAnsi="Arial" w:cs="Arial"/>
        </w:rPr>
        <w:t xml:space="preserve"> </w:t>
      </w:r>
    </w:p>
    <w:p w14:paraId="3F40C5C0" w14:textId="07099F27" w:rsidR="004613C8" w:rsidRPr="006439D5" w:rsidRDefault="0075297F" w:rsidP="006439D5">
      <w:pPr>
        <w:pStyle w:val="ListParagraph"/>
        <w:numPr>
          <w:ilvl w:val="0"/>
          <w:numId w:val="4"/>
        </w:numPr>
        <w:jc w:val="both"/>
        <w:rPr>
          <w:rFonts w:ascii="Arial" w:eastAsia="Calibri" w:hAnsi="Arial" w:cs="Arial"/>
        </w:rPr>
      </w:pPr>
      <w:r w:rsidRPr="006439D5">
        <w:rPr>
          <w:rFonts w:ascii="Arial" w:eastAsia="Calibri" w:hAnsi="Arial" w:cs="Arial"/>
        </w:rPr>
        <w:t>E</w:t>
      </w:r>
      <w:r w:rsidR="004613C8" w:rsidRPr="006439D5">
        <w:rPr>
          <w:rFonts w:ascii="Arial" w:eastAsia="Calibri" w:hAnsi="Arial" w:cs="Arial"/>
        </w:rPr>
        <w:t xml:space="preserve">mployee </w:t>
      </w:r>
      <w:r w:rsidRPr="006439D5">
        <w:rPr>
          <w:rFonts w:ascii="Arial" w:eastAsia="Calibri" w:hAnsi="Arial" w:cs="Arial"/>
        </w:rPr>
        <w:t>P</w:t>
      </w:r>
      <w:r w:rsidR="004613C8" w:rsidRPr="006439D5">
        <w:rPr>
          <w:rFonts w:ascii="Arial" w:eastAsia="Calibri" w:hAnsi="Arial" w:cs="Arial"/>
        </w:rPr>
        <w:t xml:space="preserve">rivacy </w:t>
      </w:r>
      <w:r w:rsidRPr="006439D5">
        <w:rPr>
          <w:rFonts w:ascii="Arial" w:eastAsia="Calibri" w:hAnsi="Arial" w:cs="Arial"/>
        </w:rPr>
        <w:t>N</w:t>
      </w:r>
      <w:r w:rsidR="004613C8" w:rsidRPr="006439D5">
        <w:rPr>
          <w:rFonts w:ascii="Arial" w:eastAsia="Calibri" w:hAnsi="Arial" w:cs="Arial"/>
        </w:rPr>
        <w:t xml:space="preserve">otice. </w:t>
      </w:r>
    </w:p>
    <w:p w14:paraId="32EF25F3" w14:textId="77777777" w:rsidR="004613C8" w:rsidRPr="0075297F" w:rsidRDefault="004613C8" w:rsidP="004613C8">
      <w:pPr>
        <w:spacing w:after="0" w:line="240" w:lineRule="auto"/>
        <w:ind w:left="720"/>
        <w:jc w:val="both"/>
        <w:rPr>
          <w:rFonts w:ascii="Arial" w:eastAsia="Calibri" w:hAnsi="Arial" w:cs="Arial"/>
          <w:sz w:val="24"/>
          <w:szCs w:val="24"/>
        </w:rPr>
      </w:pPr>
    </w:p>
    <w:p w14:paraId="731B71F5" w14:textId="3E2F6BE8" w:rsidR="004613C8" w:rsidRPr="0075297F" w:rsidRDefault="004613C8" w:rsidP="004613C8">
      <w:pPr>
        <w:spacing w:after="0" w:line="240" w:lineRule="auto"/>
        <w:jc w:val="both"/>
        <w:rPr>
          <w:rFonts w:ascii="Arial" w:eastAsia="Times New Roman" w:hAnsi="Arial" w:cs="Arial"/>
          <w:bCs/>
          <w:sz w:val="24"/>
          <w:szCs w:val="24"/>
        </w:rPr>
      </w:pPr>
      <w:r w:rsidRPr="0075297F">
        <w:rPr>
          <w:rFonts w:ascii="Arial" w:eastAsia="Times New Roman" w:hAnsi="Arial" w:cs="Arial"/>
          <w:bCs/>
          <w:sz w:val="24"/>
          <w:szCs w:val="24"/>
        </w:rPr>
        <w:t xml:space="preserve">The induction then moves to the departmental level with the employee being handed over to their relevant line manager. </w:t>
      </w:r>
    </w:p>
    <w:p w14:paraId="7EEFA9C1" w14:textId="77777777" w:rsidR="004613C8" w:rsidRPr="0075297F" w:rsidRDefault="004613C8" w:rsidP="004613C8">
      <w:pPr>
        <w:spacing w:after="0" w:line="240" w:lineRule="auto"/>
        <w:jc w:val="both"/>
        <w:rPr>
          <w:rFonts w:ascii="Arial" w:eastAsia="Calibri" w:hAnsi="Arial" w:cs="Arial"/>
          <w:sz w:val="24"/>
          <w:szCs w:val="24"/>
        </w:rPr>
      </w:pPr>
    </w:p>
    <w:p w14:paraId="4B5044BA" w14:textId="77777777" w:rsidR="004613C8" w:rsidRPr="0075297F" w:rsidRDefault="004613C8" w:rsidP="004613C8">
      <w:pPr>
        <w:spacing w:after="0" w:line="240" w:lineRule="auto"/>
        <w:jc w:val="both"/>
        <w:rPr>
          <w:rFonts w:ascii="Arial" w:eastAsia="Calibri" w:hAnsi="Arial" w:cs="Arial"/>
          <w:sz w:val="24"/>
          <w:szCs w:val="24"/>
        </w:rPr>
      </w:pPr>
      <w:r w:rsidRPr="0075297F">
        <w:rPr>
          <w:rFonts w:ascii="Arial" w:eastAsia="Calibri" w:hAnsi="Arial" w:cs="Arial"/>
          <w:sz w:val="24"/>
          <w:szCs w:val="24"/>
        </w:rPr>
        <w:t xml:space="preserve">The remainder of this induction policy contains a generic set of possible activities to be undertaken during an induction programme. It will require tailoring by the line manager to the circumstances of the employee’s new job role, and to take into account any needs for training that were identified during the recruitment process. </w:t>
      </w:r>
    </w:p>
    <w:p w14:paraId="616977E6" w14:textId="77777777" w:rsidR="004613C8" w:rsidRPr="0075297F" w:rsidRDefault="004613C8" w:rsidP="004613C8">
      <w:pPr>
        <w:spacing w:after="0" w:line="240" w:lineRule="auto"/>
        <w:jc w:val="both"/>
        <w:rPr>
          <w:rFonts w:ascii="Arial" w:eastAsia="Calibri" w:hAnsi="Arial" w:cs="Arial"/>
          <w:sz w:val="24"/>
          <w:szCs w:val="24"/>
        </w:rPr>
      </w:pPr>
    </w:p>
    <w:p w14:paraId="262994B6" w14:textId="77777777" w:rsidR="004613C8" w:rsidRPr="004613C8" w:rsidRDefault="004613C8" w:rsidP="004613C8">
      <w:pPr>
        <w:spacing w:after="0" w:line="240" w:lineRule="auto"/>
        <w:jc w:val="both"/>
        <w:rPr>
          <w:rFonts w:ascii="Arial" w:eastAsia="Calibri" w:hAnsi="Arial" w:cs="Arial"/>
          <w:sz w:val="24"/>
          <w:szCs w:val="24"/>
        </w:rPr>
      </w:pPr>
      <w:r w:rsidRPr="0075297F">
        <w:rPr>
          <w:rFonts w:ascii="Arial" w:eastAsia="Calibri" w:hAnsi="Arial" w:cs="Arial"/>
          <w:sz w:val="24"/>
          <w:szCs w:val="24"/>
        </w:rPr>
        <w:t>The departmental level induction will allow the new employee to become familiar with their new</w:t>
      </w:r>
      <w:r w:rsidRPr="004613C8">
        <w:rPr>
          <w:rFonts w:ascii="Arial" w:eastAsia="Calibri" w:hAnsi="Arial" w:cs="Arial"/>
          <w:sz w:val="24"/>
          <w:szCs w:val="24"/>
        </w:rPr>
        <w:t xml:space="preserve"> department, including an introduction to the teams and support available in the department and how the department operates generally. The line manager will set out where the new employee fits in to existing teams and how it is intended for the new employee to operate effectively within the department. </w:t>
      </w:r>
    </w:p>
    <w:p w14:paraId="243AE203" w14:textId="77777777" w:rsidR="004613C8" w:rsidRPr="004613C8" w:rsidRDefault="004613C8" w:rsidP="004613C8">
      <w:pPr>
        <w:spacing w:after="0" w:line="240" w:lineRule="auto"/>
        <w:jc w:val="both"/>
        <w:rPr>
          <w:rFonts w:ascii="Arial" w:eastAsia="Calibri" w:hAnsi="Arial" w:cs="Arial"/>
          <w:sz w:val="24"/>
          <w:szCs w:val="24"/>
        </w:rPr>
      </w:pPr>
    </w:p>
    <w:p w14:paraId="01FD430B"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line manager will complete the key documentation required of the new employee. Where this remains uncompleted, the line manager will ask the employee to sign the statement of main terms and conditions of employment. </w:t>
      </w:r>
    </w:p>
    <w:p w14:paraId="6C01A814" w14:textId="77777777" w:rsidR="004613C8" w:rsidRPr="004613C8" w:rsidRDefault="004613C8" w:rsidP="004613C8">
      <w:pPr>
        <w:spacing w:after="0" w:line="240" w:lineRule="auto"/>
        <w:jc w:val="both"/>
        <w:rPr>
          <w:rFonts w:ascii="Arial" w:eastAsia="Calibri" w:hAnsi="Arial" w:cs="Arial"/>
          <w:sz w:val="24"/>
          <w:szCs w:val="24"/>
        </w:rPr>
      </w:pPr>
    </w:p>
    <w:p w14:paraId="1699F21E"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training and development plan will be set out including the arrangements for the probationary review meetings. </w:t>
      </w:r>
    </w:p>
    <w:p w14:paraId="2AEA3434" w14:textId="77777777" w:rsidR="004613C8" w:rsidRPr="004613C8" w:rsidRDefault="004613C8" w:rsidP="004613C8">
      <w:pPr>
        <w:spacing w:after="0" w:line="240" w:lineRule="auto"/>
        <w:jc w:val="both"/>
        <w:rPr>
          <w:rFonts w:ascii="Arial" w:eastAsia="Calibri" w:hAnsi="Arial" w:cs="Arial"/>
          <w:sz w:val="24"/>
          <w:szCs w:val="24"/>
        </w:rPr>
      </w:pPr>
    </w:p>
    <w:p w14:paraId="75E1776B"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Arrangements for auto-enrolment to the pension plan will be covered, as well as other benefits information specific to the employee’s job role. </w:t>
      </w:r>
    </w:p>
    <w:p w14:paraId="65AF3D7A" w14:textId="77777777" w:rsidR="004613C8" w:rsidRPr="004613C8" w:rsidRDefault="004613C8" w:rsidP="004613C8">
      <w:pPr>
        <w:spacing w:after="0" w:line="240" w:lineRule="auto"/>
        <w:jc w:val="both"/>
        <w:rPr>
          <w:rFonts w:ascii="Arial" w:eastAsia="Calibri" w:hAnsi="Arial" w:cs="Arial"/>
          <w:sz w:val="24"/>
          <w:szCs w:val="24"/>
        </w:rPr>
      </w:pPr>
    </w:p>
    <w:p w14:paraId="52AE8049" w14:textId="3C4B6BBD"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remainder of the induction programme could consist of placing the employee on internal or external training sessions required by the job role or the business generally. </w:t>
      </w:r>
    </w:p>
    <w:p w14:paraId="0B7C4006" w14:textId="77777777" w:rsidR="004613C8" w:rsidRPr="004613C8" w:rsidRDefault="004613C8" w:rsidP="004613C8">
      <w:pPr>
        <w:spacing w:after="0" w:line="240" w:lineRule="auto"/>
        <w:jc w:val="both"/>
        <w:rPr>
          <w:rFonts w:ascii="Arial" w:eastAsia="Calibri" w:hAnsi="Arial" w:cs="Arial"/>
          <w:sz w:val="24"/>
          <w:szCs w:val="24"/>
        </w:rPr>
      </w:pPr>
    </w:p>
    <w:p w14:paraId="38B0CEF1" w14:textId="706912EA" w:rsidR="004613C8" w:rsidRPr="004613C8" w:rsidRDefault="004613C8" w:rsidP="004613C8">
      <w:pPr>
        <w:spacing w:after="0" w:line="240" w:lineRule="auto"/>
        <w:jc w:val="both"/>
        <w:rPr>
          <w:rFonts w:ascii="Arial" w:eastAsia="Calibri" w:hAnsi="Arial" w:cs="Arial"/>
          <w:sz w:val="24"/>
          <w:szCs w:val="24"/>
        </w:rPr>
      </w:pPr>
      <w:r>
        <w:rPr>
          <w:rFonts w:ascii="Arial" w:eastAsia="Calibri" w:hAnsi="Arial" w:cs="Arial"/>
          <w:sz w:val="24"/>
          <w:szCs w:val="24"/>
        </w:rPr>
        <w:t xml:space="preserve">This </w:t>
      </w:r>
      <w:r w:rsidRPr="004613C8">
        <w:rPr>
          <w:rFonts w:ascii="Arial" w:eastAsia="Calibri" w:hAnsi="Arial" w:cs="Arial"/>
          <w:sz w:val="24"/>
          <w:szCs w:val="24"/>
        </w:rPr>
        <w:t xml:space="preserve">could include shadowing, with the new employee sitting with </w:t>
      </w:r>
      <w:r>
        <w:rPr>
          <w:rFonts w:ascii="Arial" w:eastAsia="Calibri" w:hAnsi="Arial" w:cs="Arial"/>
          <w:sz w:val="24"/>
          <w:szCs w:val="24"/>
        </w:rPr>
        <w:t>colleagues and students to understand the school day.</w:t>
      </w:r>
    </w:p>
    <w:p w14:paraId="71FFC632" w14:textId="77777777" w:rsidR="004613C8" w:rsidRPr="004613C8" w:rsidRDefault="004613C8" w:rsidP="004613C8">
      <w:pPr>
        <w:spacing w:after="0" w:line="240" w:lineRule="auto"/>
        <w:jc w:val="both"/>
        <w:rPr>
          <w:rFonts w:ascii="Arial" w:eastAsia="Calibri" w:hAnsi="Arial" w:cs="Arial"/>
          <w:sz w:val="24"/>
          <w:szCs w:val="24"/>
        </w:rPr>
      </w:pPr>
    </w:p>
    <w:p w14:paraId="7C635369"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week could also include meetings with key employees to go over systems, procedures, techniques, equipment, production methods etc. </w:t>
      </w:r>
    </w:p>
    <w:p w14:paraId="0983EF0A" w14:textId="77777777" w:rsidR="004613C8" w:rsidRPr="004613C8" w:rsidRDefault="004613C8" w:rsidP="004613C8">
      <w:pPr>
        <w:spacing w:after="0" w:line="240" w:lineRule="auto"/>
        <w:jc w:val="both"/>
        <w:rPr>
          <w:rFonts w:ascii="Arial" w:eastAsia="Calibri" w:hAnsi="Arial" w:cs="Arial"/>
          <w:sz w:val="24"/>
          <w:szCs w:val="24"/>
        </w:rPr>
      </w:pPr>
    </w:p>
    <w:p w14:paraId="25760AE8"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An induction review meeting will take place at the end of week one to ask the new employee how the first week has gone and seek feedback on the effectiveness of the induction programme so far. Any feedback from the new employee may dictate the need for further training, meetings or reviews in the weeks that follow on some or all the business areas covered. </w:t>
      </w:r>
    </w:p>
    <w:p w14:paraId="3C8D2991" w14:textId="77777777" w:rsidR="004613C8" w:rsidRPr="004613C8" w:rsidRDefault="004613C8" w:rsidP="004613C8">
      <w:pPr>
        <w:spacing w:after="0" w:line="240" w:lineRule="auto"/>
        <w:jc w:val="both"/>
        <w:rPr>
          <w:rFonts w:ascii="Arial" w:eastAsia="Calibri" w:hAnsi="Arial" w:cs="Arial"/>
          <w:sz w:val="24"/>
          <w:szCs w:val="24"/>
        </w:rPr>
      </w:pPr>
    </w:p>
    <w:p w14:paraId="7269471F"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second week may move from a shadowing perspective to starting to undertake work in the job role, under supervision. Alternatively, shadowing may continue depending on the needs of the role with work commencing the following week. The structure of the second week is dictated by the needs of the role and the line manager’s experience in this area. </w:t>
      </w:r>
    </w:p>
    <w:p w14:paraId="4BDA672C" w14:textId="77777777" w:rsidR="004613C8" w:rsidRPr="004613C8" w:rsidRDefault="004613C8" w:rsidP="004613C8">
      <w:pPr>
        <w:spacing w:after="0" w:line="240" w:lineRule="auto"/>
        <w:jc w:val="both"/>
        <w:rPr>
          <w:rFonts w:ascii="Arial" w:eastAsia="Calibri" w:hAnsi="Arial" w:cs="Arial"/>
          <w:sz w:val="24"/>
          <w:szCs w:val="24"/>
        </w:rPr>
      </w:pPr>
    </w:p>
    <w:p w14:paraId="14B2F6AD" w14:textId="77777777" w:rsidR="004613C8" w:rsidRPr="004613C8" w:rsidRDefault="004613C8" w:rsidP="004613C8">
      <w:pPr>
        <w:spacing w:after="0" w:line="240" w:lineRule="auto"/>
        <w:jc w:val="both"/>
        <w:rPr>
          <w:rFonts w:ascii="Arial" w:eastAsia="Calibri" w:hAnsi="Arial" w:cs="Arial"/>
          <w:sz w:val="24"/>
          <w:szCs w:val="24"/>
        </w:rPr>
      </w:pPr>
    </w:p>
    <w:p w14:paraId="1E2AC604" w14:textId="49AB05BE" w:rsidR="004613C8" w:rsidRPr="009431A2" w:rsidRDefault="004613C8" w:rsidP="009431A2">
      <w:pPr>
        <w:pStyle w:val="ListParagraph"/>
        <w:numPr>
          <w:ilvl w:val="0"/>
          <w:numId w:val="6"/>
        </w:numPr>
        <w:jc w:val="both"/>
        <w:rPr>
          <w:rFonts w:ascii="Arial" w:eastAsia="Calibri" w:hAnsi="Arial" w:cs="Arial"/>
          <w:b/>
        </w:rPr>
      </w:pPr>
      <w:r w:rsidRPr="009431A2">
        <w:rPr>
          <w:rFonts w:ascii="Arial" w:hAnsi="Arial" w:cs="Arial"/>
          <w:b/>
          <w:bCs/>
        </w:rPr>
        <w:t>P</w:t>
      </w:r>
      <w:r w:rsidR="009431A2">
        <w:rPr>
          <w:rFonts w:ascii="Arial" w:hAnsi="Arial" w:cs="Arial"/>
          <w:b/>
          <w:bCs/>
        </w:rPr>
        <w:t xml:space="preserve">robationary reviews </w:t>
      </w:r>
    </w:p>
    <w:p w14:paraId="731D86E2" w14:textId="77777777" w:rsidR="009431A2" w:rsidRPr="009431A2" w:rsidRDefault="009431A2" w:rsidP="009431A2">
      <w:pPr>
        <w:pStyle w:val="ListParagraph"/>
        <w:jc w:val="both"/>
        <w:rPr>
          <w:rFonts w:ascii="Arial" w:eastAsia="Calibri" w:hAnsi="Arial" w:cs="Arial"/>
          <w:b/>
        </w:rPr>
      </w:pPr>
    </w:p>
    <w:p w14:paraId="69FB4D82"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Company employs all new employees subject to a probationary period. During this period, the employee’s performance will be assessed at regular intervals. </w:t>
      </w:r>
    </w:p>
    <w:p w14:paraId="68D96E0F" w14:textId="77777777" w:rsidR="004613C8" w:rsidRPr="004613C8" w:rsidRDefault="004613C8" w:rsidP="004613C8">
      <w:pPr>
        <w:spacing w:after="0" w:line="240" w:lineRule="auto"/>
        <w:jc w:val="both"/>
        <w:rPr>
          <w:rFonts w:ascii="Arial" w:eastAsia="Calibri" w:hAnsi="Arial" w:cs="Arial"/>
          <w:sz w:val="24"/>
          <w:szCs w:val="24"/>
        </w:rPr>
      </w:pPr>
    </w:p>
    <w:p w14:paraId="78601C9F"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Depending on the job role, a training programme will consist of internal shadowing, internal training courses, and external training programmes and on the job training. </w:t>
      </w:r>
    </w:p>
    <w:p w14:paraId="1A37048A" w14:textId="77777777" w:rsidR="004613C8" w:rsidRPr="004613C8" w:rsidRDefault="004613C8" w:rsidP="004613C8">
      <w:pPr>
        <w:spacing w:after="0" w:line="240" w:lineRule="auto"/>
        <w:jc w:val="both"/>
        <w:rPr>
          <w:rFonts w:ascii="Arial" w:eastAsia="Calibri" w:hAnsi="Arial" w:cs="Arial"/>
          <w:sz w:val="24"/>
          <w:szCs w:val="24"/>
        </w:rPr>
      </w:pPr>
    </w:p>
    <w:p w14:paraId="4BB5D083"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line manager will meet with the employee at the following intervals, to conduct probationary review meetings: </w:t>
      </w:r>
    </w:p>
    <w:p w14:paraId="190D1C24" w14:textId="77777777" w:rsidR="004613C8" w:rsidRPr="004613C8" w:rsidRDefault="004613C8" w:rsidP="004613C8">
      <w:pPr>
        <w:spacing w:after="0" w:line="240" w:lineRule="auto"/>
        <w:jc w:val="both"/>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126"/>
      </w:tblGrid>
      <w:tr w:rsidR="004613C8" w:rsidRPr="004613C8" w14:paraId="5EEAF9DB" w14:textId="77777777" w:rsidTr="004613C8">
        <w:tc>
          <w:tcPr>
            <w:tcW w:w="9016" w:type="dxa"/>
            <w:gridSpan w:val="2"/>
            <w:tcBorders>
              <w:top w:val="single" w:sz="4" w:space="0" w:color="auto"/>
              <w:left w:val="single" w:sz="4" w:space="0" w:color="auto"/>
              <w:bottom w:val="single" w:sz="4" w:space="0" w:color="auto"/>
              <w:right w:val="single" w:sz="4" w:space="0" w:color="auto"/>
            </w:tcBorders>
            <w:shd w:val="clear" w:color="auto" w:fill="253143"/>
            <w:hideMark/>
          </w:tcPr>
          <w:p w14:paraId="26FD4FCC" w14:textId="77777777" w:rsidR="004613C8" w:rsidRPr="004613C8" w:rsidRDefault="004613C8">
            <w:pPr>
              <w:autoSpaceDE w:val="0"/>
              <w:autoSpaceDN w:val="0"/>
              <w:adjustRightInd w:val="0"/>
              <w:spacing w:after="0" w:line="240" w:lineRule="auto"/>
              <w:jc w:val="both"/>
              <w:rPr>
                <w:rFonts w:ascii="Arial" w:eastAsia="Times New Roman" w:hAnsi="Arial" w:cs="Arial"/>
                <w:b/>
                <w:color w:val="FFFFFF" w:themeColor="background1"/>
                <w:sz w:val="24"/>
                <w:szCs w:val="24"/>
                <w:lang w:eastAsia="en-GB"/>
              </w:rPr>
            </w:pPr>
            <w:r w:rsidRPr="004613C8">
              <w:rPr>
                <w:rFonts w:ascii="Arial" w:eastAsia="Times New Roman" w:hAnsi="Arial" w:cs="Arial"/>
                <w:b/>
                <w:color w:val="FFFFFF" w:themeColor="background1"/>
                <w:sz w:val="24"/>
                <w:szCs w:val="24"/>
                <w:lang w:eastAsia="en-GB"/>
              </w:rPr>
              <w:t>Probationary review schedule</w:t>
            </w:r>
          </w:p>
        </w:tc>
      </w:tr>
      <w:tr w:rsidR="004613C8" w:rsidRPr="004613C8" w14:paraId="66AC9A20" w14:textId="77777777" w:rsidTr="004613C8">
        <w:tc>
          <w:tcPr>
            <w:tcW w:w="4890" w:type="dxa"/>
            <w:tcBorders>
              <w:top w:val="single" w:sz="4" w:space="0" w:color="auto"/>
              <w:left w:val="single" w:sz="4" w:space="0" w:color="auto"/>
              <w:bottom w:val="single" w:sz="4" w:space="0" w:color="auto"/>
              <w:right w:val="single" w:sz="4" w:space="0" w:color="auto"/>
            </w:tcBorders>
            <w:hideMark/>
          </w:tcPr>
          <w:p w14:paraId="778041F6"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Induction review - mid way point</w:t>
            </w:r>
          </w:p>
        </w:tc>
        <w:tc>
          <w:tcPr>
            <w:tcW w:w="4126" w:type="dxa"/>
            <w:tcBorders>
              <w:top w:val="single" w:sz="4" w:space="0" w:color="auto"/>
              <w:left w:val="single" w:sz="4" w:space="0" w:color="auto"/>
              <w:bottom w:val="single" w:sz="4" w:space="0" w:color="auto"/>
              <w:right w:val="single" w:sz="4" w:space="0" w:color="auto"/>
            </w:tcBorders>
            <w:hideMark/>
          </w:tcPr>
          <w:p w14:paraId="0E6F80CB"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End of first week</w:t>
            </w:r>
          </w:p>
        </w:tc>
      </w:tr>
      <w:tr w:rsidR="004613C8" w:rsidRPr="004613C8" w14:paraId="3BA691ED" w14:textId="77777777" w:rsidTr="004613C8">
        <w:tc>
          <w:tcPr>
            <w:tcW w:w="4890" w:type="dxa"/>
            <w:tcBorders>
              <w:top w:val="single" w:sz="4" w:space="0" w:color="auto"/>
              <w:left w:val="single" w:sz="4" w:space="0" w:color="auto"/>
              <w:bottom w:val="single" w:sz="4" w:space="0" w:color="auto"/>
              <w:right w:val="single" w:sz="4" w:space="0" w:color="auto"/>
            </w:tcBorders>
            <w:hideMark/>
          </w:tcPr>
          <w:p w14:paraId="06A1A82D"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Induction review - end of induction</w:t>
            </w:r>
          </w:p>
        </w:tc>
        <w:tc>
          <w:tcPr>
            <w:tcW w:w="4126" w:type="dxa"/>
            <w:tcBorders>
              <w:top w:val="single" w:sz="4" w:space="0" w:color="auto"/>
              <w:left w:val="single" w:sz="4" w:space="0" w:color="auto"/>
              <w:bottom w:val="single" w:sz="4" w:space="0" w:color="auto"/>
              <w:right w:val="single" w:sz="4" w:space="0" w:color="auto"/>
            </w:tcBorders>
            <w:hideMark/>
          </w:tcPr>
          <w:p w14:paraId="02BD8511"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End of second week</w:t>
            </w:r>
          </w:p>
        </w:tc>
      </w:tr>
      <w:tr w:rsidR="004613C8" w:rsidRPr="004613C8" w14:paraId="6A99529B" w14:textId="77777777" w:rsidTr="004613C8">
        <w:tc>
          <w:tcPr>
            <w:tcW w:w="4890" w:type="dxa"/>
            <w:tcBorders>
              <w:top w:val="single" w:sz="4" w:space="0" w:color="auto"/>
              <w:left w:val="single" w:sz="4" w:space="0" w:color="auto"/>
              <w:bottom w:val="single" w:sz="4" w:space="0" w:color="auto"/>
              <w:right w:val="single" w:sz="4" w:space="0" w:color="auto"/>
            </w:tcBorders>
            <w:hideMark/>
          </w:tcPr>
          <w:p w14:paraId="00390626"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First month review</w:t>
            </w:r>
          </w:p>
        </w:tc>
        <w:tc>
          <w:tcPr>
            <w:tcW w:w="4126" w:type="dxa"/>
            <w:tcBorders>
              <w:top w:val="single" w:sz="4" w:space="0" w:color="auto"/>
              <w:left w:val="single" w:sz="4" w:space="0" w:color="auto"/>
              <w:bottom w:val="single" w:sz="4" w:space="0" w:color="auto"/>
              <w:right w:val="single" w:sz="4" w:space="0" w:color="auto"/>
            </w:tcBorders>
            <w:hideMark/>
          </w:tcPr>
          <w:p w14:paraId="26AD8A24"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End of first month</w:t>
            </w:r>
          </w:p>
        </w:tc>
      </w:tr>
      <w:tr w:rsidR="004613C8" w:rsidRPr="004613C8" w14:paraId="63744C78" w14:textId="77777777" w:rsidTr="004613C8">
        <w:tc>
          <w:tcPr>
            <w:tcW w:w="4890" w:type="dxa"/>
            <w:tcBorders>
              <w:top w:val="single" w:sz="4" w:space="0" w:color="auto"/>
              <w:left w:val="single" w:sz="4" w:space="0" w:color="auto"/>
              <w:bottom w:val="single" w:sz="4" w:space="0" w:color="auto"/>
              <w:right w:val="single" w:sz="4" w:space="0" w:color="auto"/>
            </w:tcBorders>
            <w:hideMark/>
          </w:tcPr>
          <w:p w14:paraId="1702F022"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Second month review</w:t>
            </w:r>
          </w:p>
        </w:tc>
        <w:tc>
          <w:tcPr>
            <w:tcW w:w="4126" w:type="dxa"/>
            <w:tcBorders>
              <w:top w:val="single" w:sz="4" w:space="0" w:color="auto"/>
              <w:left w:val="single" w:sz="4" w:space="0" w:color="auto"/>
              <w:bottom w:val="single" w:sz="4" w:space="0" w:color="auto"/>
              <w:right w:val="single" w:sz="4" w:space="0" w:color="auto"/>
            </w:tcBorders>
            <w:hideMark/>
          </w:tcPr>
          <w:p w14:paraId="66C30A70"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End of second month</w:t>
            </w:r>
          </w:p>
        </w:tc>
      </w:tr>
      <w:tr w:rsidR="004613C8" w:rsidRPr="004613C8" w14:paraId="01E24A02" w14:textId="77777777" w:rsidTr="004613C8">
        <w:tc>
          <w:tcPr>
            <w:tcW w:w="4890" w:type="dxa"/>
            <w:tcBorders>
              <w:top w:val="single" w:sz="4" w:space="0" w:color="auto"/>
              <w:left w:val="single" w:sz="4" w:space="0" w:color="auto"/>
              <w:bottom w:val="single" w:sz="4" w:space="0" w:color="auto"/>
              <w:right w:val="single" w:sz="4" w:space="0" w:color="auto"/>
            </w:tcBorders>
            <w:hideMark/>
          </w:tcPr>
          <w:p w14:paraId="54CE9EE5" w14:textId="77777777"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 xml:space="preserve">Probationary review </w:t>
            </w:r>
          </w:p>
        </w:tc>
        <w:tc>
          <w:tcPr>
            <w:tcW w:w="4126" w:type="dxa"/>
            <w:tcBorders>
              <w:top w:val="single" w:sz="4" w:space="0" w:color="auto"/>
              <w:left w:val="single" w:sz="4" w:space="0" w:color="auto"/>
              <w:bottom w:val="single" w:sz="4" w:space="0" w:color="auto"/>
              <w:right w:val="single" w:sz="4" w:space="0" w:color="auto"/>
            </w:tcBorders>
            <w:hideMark/>
          </w:tcPr>
          <w:p w14:paraId="15B2A7F6" w14:textId="60E5B7D8" w:rsidR="004613C8" w:rsidRPr="004613C8" w:rsidRDefault="004613C8">
            <w:pPr>
              <w:autoSpaceDE w:val="0"/>
              <w:autoSpaceDN w:val="0"/>
              <w:adjustRightInd w:val="0"/>
              <w:spacing w:after="0" w:line="240" w:lineRule="auto"/>
              <w:jc w:val="both"/>
              <w:rPr>
                <w:rFonts w:ascii="Arial" w:eastAsia="Times New Roman" w:hAnsi="Arial" w:cs="Arial"/>
                <w:color w:val="000000"/>
                <w:sz w:val="24"/>
                <w:szCs w:val="24"/>
                <w:lang w:eastAsia="en-GB"/>
              </w:rPr>
            </w:pPr>
            <w:r w:rsidRPr="004613C8">
              <w:rPr>
                <w:rFonts w:ascii="Arial" w:eastAsia="Times New Roman" w:hAnsi="Arial" w:cs="Arial"/>
                <w:color w:val="000000"/>
                <w:sz w:val="24"/>
                <w:szCs w:val="24"/>
                <w:lang w:eastAsia="en-GB"/>
              </w:rPr>
              <w:t xml:space="preserve">End of </w:t>
            </w:r>
            <w:r>
              <w:rPr>
                <w:rFonts w:ascii="Arial" w:eastAsia="Times New Roman" w:hAnsi="Arial" w:cs="Arial"/>
                <w:color w:val="000000"/>
                <w:sz w:val="24"/>
                <w:szCs w:val="24"/>
                <w:lang w:eastAsia="en-GB"/>
              </w:rPr>
              <w:t>3</w:t>
            </w:r>
            <w:r w:rsidRPr="004613C8">
              <w:rPr>
                <w:rFonts w:ascii="Arial" w:eastAsia="Times New Roman" w:hAnsi="Arial" w:cs="Arial"/>
                <w:i/>
                <w:color w:val="000000"/>
                <w:sz w:val="24"/>
                <w:szCs w:val="24"/>
                <w:lang w:eastAsia="en-GB"/>
              </w:rPr>
              <w:t xml:space="preserve"> </w:t>
            </w:r>
            <w:r w:rsidRPr="004613C8">
              <w:rPr>
                <w:rFonts w:ascii="Arial" w:eastAsia="Times New Roman" w:hAnsi="Arial" w:cs="Arial"/>
                <w:color w:val="000000"/>
                <w:sz w:val="24"/>
                <w:szCs w:val="24"/>
                <w:lang w:eastAsia="en-GB"/>
              </w:rPr>
              <w:t>months’ period</w:t>
            </w:r>
          </w:p>
        </w:tc>
      </w:tr>
    </w:tbl>
    <w:p w14:paraId="613DE6B2" w14:textId="77777777" w:rsidR="004613C8" w:rsidRPr="004613C8" w:rsidRDefault="004613C8" w:rsidP="004613C8">
      <w:pPr>
        <w:spacing w:after="0" w:line="240" w:lineRule="auto"/>
        <w:jc w:val="both"/>
        <w:rPr>
          <w:rFonts w:ascii="Arial" w:eastAsia="Calibri" w:hAnsi="Arial" w:cs="Arial"/>
          <w:sz w:val="24"/>
          <w:szCs w:val="24"/>
        </w:rPr>
      </w:pPr>
    </w:p>
    <w:p w14:paraId="1EC82ECF" w14:textId="3CDD8B86" w:rsidR="004613C8" w:rsidRPr="006439D5" w:rsidRDefault="004613C8" w:rsidP="009431A2">
      <w:pPr>
        <w:pStyle w:val="ListParagraph"/>
        <w:numPr>
          <w:ilvl w:val="0"/>
          <w:numId w:val="6"/>
        </w:numPr>
        <w:jc w:val="both"/>
        <w:rPr>
          <w:rFonts w:ascii="Arial" w:hAnsi="Arial" w:cs="Arial"/>
          <w:b/>
          <w:bCs/>
        </w:rPr>
      </w:pPr>
      <w:r w:rsidRPr="006439D5">
        <w:rPr>
          <w:rFonts w:ascii="Arial" w:hAnsi="Arial" w:cs="Arial"/>
          <w:b/>
          <w:bCs/>
        </w:rPr>
        <w:t>M</w:t>
      </w:r>
      <w:r w:rsidR="009431A2">
        <w:rPr>
          <w:rFonts w:ascii="Arial" w:hAnsi="Arial" w:cs="Arial"/>
          <w:b/>
          <w:bCs/>
        </w:rPr>
        <w:t>entors</w:t>
      </w:r>
    </w:p>
    <w:p w14:paraId="00B87426" w14:textId="77777777" w:rsidR="004613C8" w:rsidRPr="004613C8" w:rsidRDefault="004613C8" w:rsidP="004613C8">
      <w:pPr>
        <w:spacing w:after="0" w:line="240" w:lineRule="auto"/>
        <w:jc w:val="both"/>
        <w:rPr>
          <w:rFonts w:ascii="Arial" w:eastAsia="Times New Roman" w:hAnsi="Arial" w:cs="Arial"/>
          <w:b/>
          <w:bCs/>
          <w:caps/>
          <w:sz w:val="24"/>
          <w:szCs w:val="24"/>
        </w:rPr>
      </w:pPr>
    </w:p>
    <w:p w14:paraId="3F4C8B14"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All new employees commencing employment, and existing employees transferring job roles or transferring departments, will be provided with a mentor.</w:t>
      </w:r>
    </w:p>
    <w:p w14:paraId="76805DB9" w14:textId="77777777" w:rsidR="004613C8" w:rsidRPr="004613C8" w:rsidRDefault="004613C8" w:rsidP="004613C8">
      <w:pPr>
        <w:spacing w:after="0" w:line="240" w:lineRule="auto"/>
        <w:jc w:val="both"/>
        <w:rPr>
          <w:rFonts w:ascii="Arial" w:eastAsia="Calibri" w:hAnsi="Arial" w:cs="Arial"/>
          <w:sz w:val="24"/>
          <w:szCs w:val="24"/>
        </w:rPr>
      </w:pPr>
    </w:p>
    <w:p w14:paraId="3598773F"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mentoring process runs for the first nine months of the role and may be extended by a further six months on an informal basis. Employees are encouraged to discuss the requirements with their mentor and their line manager. </w:t>
      </w:r>
    </w:p>
    <w:p w14:paraId="35237B3D" w14:textId="77777777" w:rsidR="004613C8" w:rsidRPr="004613C8" w:rsidRDefault="004613C8" w:rsidP="004613C8">
      <w:pPr>
        <w:spacing w:after="0" w:line="240" w:lineRule="auto"/>
        <w:jc w:val="both"/>
        <w:rPr>
          <w:rFonts w:ascii="Arial" w:eastAsia="Calibri" w:hAnsi="Arial" w:cs="Arial"/>
          <w:sz w:val="24"/>
          <w:szCs w:val="24"/>
        </w:rPr>
      </w:pPr>
    </w:p>
    <w:p w14:paraId="2D3B9459" w14:textId="38F0330A" w:rsidR="004613C8" w:rsidRPr="004613C8" w:rsidRDefault="004613C8" w:rsidP="004613C8">
      <w:pPr>
        <w:spacing w:after="0" w:line="240" w:lineRule="auto"/>
        <w:jc w:val="both"/>
        <w:rPr>
          <w:rFonts w:ascii="Arial" w:eastAsia="Calibri" w:hAnsi="Arial" w:cs="Arial"/>
          <w:sz w:val="24"/>
          <w:szCs w:val="24"/>
        </w:rPr>
      </w:pPr>
      <w:r>
        <w:rPr>
          <w:rFonts w:ascii="Arial" w:eastAsia="Calibri" w:hAnsi="Arial" w:cs="Arial"/>
          <w:sz w:val="24"/>
          <w:szCs w:val="24"/>
        </w:rPr>
        <w:t>M</w:t>
      </w:r>
      <w:r w:rsidRPr="004613C8">
        <w:rPr>
          <w:rFonts w:ascii="Arial" w:eastAsia="Calibri" w:hAnsi="Arial" w:cs="Arial"/>
          <w:sz w:val="24"/>
          <w:szCs w:val="24"/>
        </w:rPr>
        <w:t xml:space="preserve">entoring meetings will take place weekly for the first three months, moving to monthly thereafter until the first year of employment is completed. </w:t>
      </w:r>
    </w:p>
    <w:p w14:paraId="61B6F538" w14:textId="77777777" w:rsidR="004613C8" w:rsidRPr="004613C8" w:rsidRDefault="004613C8" w:rsidP="004613C8">
      <w:pPr>
        <w:spacing w:after="0" w:line="240" w:lineRule="auto"/>
        <w:jc w:val="both"/>
        <w:rPr>
          <w:rFonts w:ascii="Arial" w:eastAsia="Calibri" w:hAnsi="Arial" w:cs="Arial"/>
          <w:sz w:val="24"/>
          <w:szCs w:val="24"/>
        </w:rPr>
      </w:pPr>
    </w:p>
    <w:p w14:paraId="42EA4BD9"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Away from the periodic meetings, the mentor is available at other times should the employee have problems or queries with their job role. The mentor is not a coach but can give professional advice to employees where appropriate. It will not be appropriate for a mentor to deal with any workplace concerns or complaints, and these should be directed to the employee’s line manager at first instance.</w:t>
      </w:r>
    </w:p>
    <w:p w14:paraId="316C89E4" w14:textId="77777777" w:rsidR="004613C8" w:rsidRPr="004613C8" w:rsidRDefault="004613C8" w:rsidP="004613C8">
      <w:pPr>
        <w:spacing w:after="0" w:line="240" w:lineRule="auto"/>
        <w:jc w:val="both"/>
        <w:rPr>
          <w:rFonts w:ascii="Arial" w:eastAsia="Calibri" w:hAnsi="Arial" w:cs="Arial"/>
          <w:sz w:val="24"/>
          <w:szCs w:val="24"/>
        </w:rPr>
      </w:pPr>
    </w:p>
    <w:p w14:paraId="2BF2C34D" w14:textId="3FD504D0" w:rsidR="004613C8" w:rsidRPr="004613C8" w:rsidRDefault="004613C8" w:rsidP="009431A2">
      <w:pPr>
        <w:pStyle w:val="ListParagraph"/>
        <w:numPr>
          <w:ilvl w:val="0"/>
          <w:numId w:val="6"/>
        </w:numPr>
        <w:ind w:left="426"/>
        <w:jc w:val="both"/>
        <w:rPr>
          <w:rFonts w:ascii="Arial" w:hAnsi="Arial" w:cs="Arial"/>
          <w:b/>
          <w:bCs/>
        </w:rPr>
      </w:pPr>
      <w:r w:rsidRPr="004613C8">
        <w:rPr>
          <w:rFonts w:ascii="Arial" w:hAnsi="Arial" w:cs="Arial"/>
          <w:b/>
          <w:bCs/>
        </w:rPr>
        <w:t>C</w:t>
      </w:r>
      <w:r w:rsidR="009431A2">
        <w:rPr>
          <w:rFonts w:ascii="Arial" w:hAnsi="Arial" w:cs="Arial"/>
          <w:b/>
          <w:bCs/>
        </w:rPr>
        <w:t>oaching</w:t>
      </w:r>
    </w:p>
    <w:p w14:paraId="1B3B21CA" w14:textId="77777777" w:rsidR="004613C8" w:rsidRPr="004613C8" w:rsidRDefault="004613C8" w:rsidP="004613C8">
      <w:pPr>
        <w:spacing w:after="0" w:line="240" w:lineRule="auto"/>
        <w:jc w:val="both"/>
        <w:rPr>
          <w:rFonts w:ascii="Arial" w:eastAsia="Times New Roman" w:hAnsi="Arial" w:cs="Arial"/>
          <w:b/>
          <w:bCs/>
          <w:caps/>
          <w:sz w:val="24"/>
          <w:szCs w:val="24"/>
        </w:rPr>
      </w:pPr>
    </w:p>
    <w:p w14:paraId="468BFA6E"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The Company provides new employees with coaching from the first day of their employment, through their line manager. </w:t>
      </w:r>
    </w:p>
    <w:p w14:paraId="031322B5" w14:textId="77777777" w:rsidR="004613C8" w:rsidRPr="004613C8" w:rsidRDefault="004613C8" w:rsidP="004613C8">
      <w:pPr>
        <w:spacing w:after="0" w:line="240" w:lineRule="auto"/>
        <w:jc w:val="both"/>
        <w:rPr>
          <w:rFonts w:ascii="Arial" w:eastAsia="Calibri" w:hAnsi="Arial" w:cs="Arial"/>
          <w:sz w:val="24"/>
          <w:szCs w:val="24"/>
        </w:rPr>
      </w:pPr>
    </w:p>
    <w:p w14:paraId="10273DF1"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Line managers will provide employees with training to ensure they have enough support to undertake their job roles. Coaching will continue during the probationary period and as necessary for a number of months after completion of the probationary period, up to one year, depending on the needs of the job role. </w:t>
      </w:r>
    </w:p>
    <w:p w14:paraId="4C800545" w14:textId="77777777" w:rsidR="004613C8" w:rsidRPr="004613C8" w:rsidRDefault="004613C8" w:rsidP="004613C8">
      <w:pPr>
        <w:spacing w:after="0" w:line="240" w:lineRule="auto"/>
        <w:jc w:val="both"/>
        <w:rPr>
          <w:rFonts w:ascii="Arial" w:eastAsia="Calibri" w:hAnsi="Arial" w:cs="Arial"/>
          <w:sz w:val="24"/>
          <w:szCs w:val="24"/>
        </w:rPr>
      </w:pPr>
    </w:p>
    <w:p w14:paraId="6656F3D1" w14:textId="77777777" w:rsidR="004613C8" w:rsidRPr="004613C8" w:rsidRDefault="004613C8" w:rsidP="004613C8">
      <w:pPr>
        <w:spacing w:after="0" w:line="240" w:lineRule="auto"/>
        <w:jc w:val="both"/>
        <w:rPr>
          <w:rFonts w:ascii="Arial" w:eastAsia="Calibri" w:hAnsi="Arial" w:cs="Arial"/>
          <w:sz w:val="24"/>
          <w:szCs w:val="24"/>
        </w:rPr>
      </w:pPr>
      <w:r w:rsidRPr="004613C8">
        <w:rPr>
          <w:rFonts w:ascii="Arial" w:eastAsia="Calibri" w:hAnsi="Arial" w:cs="Arial"/>
          <w:sz w:val="24"/>
          <w:szCs w:val="24"/>
        </w:rPr>
        <w:t xml:space="preserve">Line managers will support employees with coaching in relation to new tasks, processes and concepts. </w:t>
      </w:r>
    </w:p>
    <w:p w14:paraId="30D48B45" w14:textId="77777777" w:rsidR="004613C8" w:rsidRPr="004613C8" w:rsidRDefault="004613C8" w:rsidP="004613C8">
      <w:pPr>
        <w:spacing w:after="0" w:line="240" w:lineRule="auto"/>
        <w:jc w:val="both"/>
        <w:rPr>
          <w:rFonts w:ascii="Arial" w:eastAsia="Calibri" w:hAnsi="Arial" w:cs="Arial"/>
          <w:sz w:val="24"/>
          <w:szCs w:val="24"/>
        </w:rPr>
      </w:pPr>
    </w:p>
    <w:p w14:paraId="65E37C0D" w14:textId="7C070FD4" w:rsidR="009431A2" w:rsidRPr="009431A2" w:rsidRDefault="009431A2" w:rsidP="009431A2">
      <w:pPr>
        <w:pStyle w:val="ListParagraph"/>
        <w:numPr>
          <w:ilvl w:val="0"/>
          <w:numId w:val="6"/>
        </w:numPr>
        <w:autoSpaceDE w:val="0"/>
        <w:autoSpaceDN w:val="0"/>
        <w:adjustRightInd w:val="0"/>
        <w:spacing w:before="200" w:after="200" w:line="276" w:lineRule="auto"/>
        <w:jc w:val="both"/>
        <w:outlineLvl w:val="0"/>
        <w:rPr>
          <w:rFonts w:ascii="Arial" w:hAnsi="Arial" w:cs="Arial"/>
          <w:b/>
          <w:bCs/>
          <w:lang w:eastAsia="en-GB"/>
        </w:rPr>
      </w:pPr>
      <w:r w:rsidRPr="009431A2">
        <w:rPr>
          <w:rFonts w:ascii="Arial" w:hAnsi="Arial" w:cs="Arial"/>
          <w:b/>
          <w:bCs/>
          <w:lang w:eastAsia="en-GB"/>
        </w:rPr>
        <w:t xml:space="preserve">Monitoring Arrangements </w:t>
      </w:r>
    </w:p>
    <w:p w14:paraId="1D342176" w14:textId="2E62B418" w:rsidR="009431A2" w:rsidRDefault="00475370" w:rsidP="009431A2">
      <w:pPr>
        <w:autoSpaceDE w:val="0"/>
        <w:autoSpaceDN w:val="0"/>
        <w:adjustRightInd w:val="0"/>
        <w:spacing w:after="120" w:line="240" w:lineRule="auto"/>
        <w:jc w:val="both"/>
        <w:rPr>
          <w:rFonts w:ascii="Arial" w:eastAsia="Calibri" w:hAnsi="Arial" w:cs="Arial"/>
          <w:color w:val="000000"/>
          <w:sz w:val="24"/>
          <w:szCs w:val="24"/>
        </w:rPr>
      </w:pPr>
      <w:r w:rsidRPr="00475370">
        <w:rPr>
          <w:rFonts w:ascii="Arial" w:eastAsia="Calibri" w:hAnsi="Arial" w:cs="Arial"/>
          <w:color w:val="000000"/>
          <w:sz w:val="24"/>
          <w:szCs w:val="24"/>
          <w:lang w:val="en-US"/>
        </w:rPr>
        <w:t>This document will be reviewed every year, but may be reviewed and updated more frequently if necessary. It will be reviewed by </w:t>
      </w:r>
      <w:r w:rsidRPr="00475370">
        <w:rPr>
          <w:rFonts w:ascii="Arial" w:eastAsia="Calibri" w:hAnsi="Arial" w:cs="Arial"/>
          <w:b/>
          <w:bCs/>
          <w:i/>
          <w:iCs/>
          <w:color w:val="000000"/>
          <w:sz w:val="24"/>
          <w:szCs w:val="24"/>
          <w:lang w:val="en-US"/>
        </w:rPr>
        <w:t>Mr</w:t>
      </w:r>
      <w:r>
        <w:rPr>
          <w:rFonts w:ascii="Arial" w:eastAsia="Calibri" w:hAnsi="Arial" w:cs="Arial"/>
          <w:b/>
          <w:bCs/>
          <w:i/>
          <w:iCs/>
          <w:color w:val="000000"/>
          <w:sz w:val="24"/>
          <w:szCs w:val="24"/>
          <w:lang w:val="en-US"/>
        </w:rPr>
        <w:t>s Rachel Smith</w:t>
      </w:r>
      <w:r w:rsidRPr="00475370">
        <w:rPr>
          <w:rFonts w:ascii="Arial" w:eastAsia="Calibri" w:hAnsi="Arial" w:cs="Arial"/>
          <w:b/>
          <w:bCs/>
          <w:i/>
          <w:iCs/>
          <w:color w:val="000000"/>
          <w:sz w:val="24"/>
          <w:szCs w:val="24"/>
          <w:lang w:val="en-US"/>
        </w:rPr>
        <w:t xml:space="preserve"> (</w:t>
      </w:r>
      <w:r>
        <w:rPr>
          <w:rFonts w:ascii="Arial" w:eastAsia="Calibri" w:hAnsi="Arial" w:cs="Arial"/>
          <w:b/>
          <w:bCs/>
          <w:i/>
          <w:iCs/>
          <w:color w:val="000000"/>
          <w:sz w:val="24"/>
          <w:szCs w:val="24"/>
          <w:lang w:val="en-US"/>
        </w:rPr>
        <w:t>Senior Business Manager</w:t>
      </w:r>
      <w:r w:rsidRPr="00475370">
        <w:rPr>
          <w:rFonts w:ascii="Arial" w:eastAsia="Calibri" w:hAnsi="Arial" w:cs="Arial"/>
          <w:b/>
          <w:bCs/>
          <w:i/>
          <w:iCs/>
          <w:color w:val="000000"/>
          <w:sz w:val="24"/>
          <w:szCs w:val="24"/>
          <w:lang w:val="en-US"/>
        </w:rPr>
        <w:t>)</w:t>
      </w:r>
      <w:r w:rsidRPr="00475370">
        <w:rPr>
          <w:rFonts w:ascii="Arial" w:eastAsia="Calibri" w:hAnsi="Arial" w:cs="Arial"/>
          <w:color w:val="000000"/>
          <w:sz w:val="24"/>
          <w:szCs w:val="24"/>
          <w:lang w:val="en-US"/>
        </w:rPr>
        <w:t xml:space="preserve"> in consultation with the wider school community. </w:t>
      </w:r>
    </w:p>
    <w:p w14:paraId="73F47AC4" w14:textId="3B8AE4A6" w:rsidR="009431A2" w:rsidRPr="009431A2" w:rsidRDefault="009431A2" w:rsidP="009431A2">
      <w:pPr>
        <w:pStyle w:val="ListParagraph"/>
        <w:numPr>
          <w:ilvl w:val="0"/>
          <w:numId w:val="6"/>
        </w:numPr>
        <w:autoSpaceDE w:val="0"/>
        <w:autoSpaceDN w:val="0"/>
        <w:adjustRightInd w:val="0"/>
        <w:spacing w:before="200" w:after="200" w:line="276" w:lineRule="auto"/>
        <w:contextualSpacing/>
        <w:jc w:val="both"/>
        <w:outlineLvl w:val="0"/>
        <w:rPr>
          <w:rFonts w:ascii="Arial" w:hAnsi="Arial" w:cs="Arial"/>
          <w:b/>
          <w:bCs/>
          <w:lang w:eastAsia="en-GB"/>
        </w:rPr>
      </w:pPr>
      <w:r w:rsidRPr="009431A2">
        <w:rPr>
          <w:rFonts w:ascii="Arial" w:hAnsi="Arial" w:cs="Arial"/>
          <w:b/>
          <w:bCs/>
          <w:lang w:eastAsia="en-GB"/>
        </w:rPr>
        <w:t xml:space="preserve">Linked Policies </w:t>
      </w:r>
    </w:p>
    <w:p w14:paraId="21B00770" w14:textId="2D6A9C5B" w:rsidR="004613C8" w:rsidRPr="00475370" w:rsidRDefault="009431A2" w:rsidP="00475370">
      <w:pPr>
        <w:autoSpaceDE w:val="0"/>
        <w:autoSpaceDN w:val="0"/>
        <w:adjustRightInd w:val="0"/>
        <w:spacing w:after="120" w:line="240" w:lineRule="auto"/>
        <w:jc w:val="both"/>
        <w:rPr>
          <w:rFonts w:ascii="Arial" w:eastAsia="Calibri" w:hAnsi="Arial" w:cs="Arial"/>
          <w:color w:val="000000"/>
          <w:sz w:val="24"/>
          <w:szCs w:val="24"/>
        </w:rPr>
      </w:pPr>
      <w:r w:rsidRPr="00913893">
        <w:rPr>
          <w:rFonts w:ascii="Arial" w:eastAsia="Calibri" w:hAnsi="Arial" w:cs="Arial"/>
          <w:color w:val="000000"/>
          <w:sz w:val="24"/>
          <w:szCs w:val="24"/>
        </w:rPr>
        <w:t xml:space="preserve">This policy operates in conjunction with the following school policies: </w:t>
      </w:r>
    </w:p>
    <w:sectPr w:rsidR="004613C8" w:rsidRPr="004753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55AF" w14:textId="77777777" w:rsidR="008C226C" w:rsidRDefault="008C226C" w:rsidP="00512FB4">
      <w:pPr>
        <w:spacing w:after="0" w:line="240" w:lineRule="auto"/>
      </w:pPr>
      <w:r>
        <w:separator/>
      </w:r>
    </w:p>
  </w:endnote>
  <w:endnote w:type="continuationSeparator" w:id="0">
    <w:p w14:paraId="20B9C627" w14:textId="77777777" w:rsidR="008C226C" w:rsidRDefault="008C226C" w:rsidP="0051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Helvetica-Light">
    <w:altName w:val="Arial"/>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6566"/>
      <w:docPartObj>
        <w:docPartGallery w:val="Page Numbers (Bottom of Page)"/>
        <w:docPartUnique/>
      </w:docPartObj>
    </w:sdtPr>
    <w:sdtContent>
      <w:p w14:paraId="0DC867DC" w14:textId="4F2436E6" w:rsidR="006F0715" w:rsidRDefault="006F0715">
        <w:pPr>
          <w:pStyle w:val="Footer"/>
          <w:jc w:val="center"/>
        </w:pPr>
        <w:r>
          <w:t>[</w:t>
        </w:r>
        <w:r>
          <w:fldChar w:fldCharType="begin"/>
        </w:r>
        <w:r>
          <w:instrText>PAGE   \* MERGEFORMAT</w:instrText>
        </w:r>
        <w:r>
          <w:fldChar w:fldCharType="separate"/>
        </w:r>
        <w:r>
          <w:t>2</w:t>
        </w:r>
        <w:r>
          <w:fldChar w:fldCharType="end"/>
        </w:r>
        <w:r>
          <w:t>]</w:t>
        </w:r>
      </w:p>
    </w:sdtContent>
  </w:sdt>
  <w:p w14:paraId="04C80074" w14:textId="77777777" w:rsidR="00512FB4" w:rsidRDefault="0051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1FCF" w14:textId="77777777" w:rsidR="008C226C" w:rsidRDefault="008C226C" w:rsidP="00512FB4">
      <w:pPr>
        <w:spacing w:after="0" w:line="240" w:lineRule="auto"/>
      </w:pPr>
      <w:r>
        <w:separator/>
      </w:r>
    </w:p>
  </w:footnote>
  <w:footnote w:type="continuationSeparator" w:id="0">
    <w:p w14:paraId="5821C116" w14:textId="77777777" w:rsidR="008C226C" w:rsidRDefault="008C226C" w:rsidP="00512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6BFA"/>
    <w:multiLevelType w:val="hybridMultilevel"/>
    <w:tmpl w:val="229030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5B6347"/>
    <w:multiLevelType w:val="hybridMultilevel"/>
    <w:tmpl w:val="05921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967A7"/>
    <w:multiLevelType w:val="hybridMultilevel"/>
    <w:tmpl w:val="D9C88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7CEC2BA1"/>
    <w:multiLevelType w:val="hybridMultilevel"/>
    <w:tmpl w:val="46C0A466"/>
    <w:lvl w:ilvl="0" w:tplc="83B2C45A">
      <w:start w:val="1"/>
      <w:numFmt w:val="upperLetter"/>
      <w:lvlText w:val="%1)"/>
      <w:lvlJc w:val="left"/>
      <w:pPr>
        <w:ind w:left="780" w:hanging="42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FA826DF"/>
    <w:multiLevelType w:val="hybridMultilevel"/>
    <w:tmpl w:val="C7D827BA"/>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6898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610504">
    <w:abstractNumId w:val="0"/>
  </w:num>
  <w:num w:numId="3" w16cid:durableId="535242476">
    <w:abstractNumId w:val="2"/>
  </w:num>
  <w:num w:numId="4" w16cid:durableId="628366293">
    <w:abstractNumId w:val="5"/>
  </w:num>
  <w:num w:numId="5" w16cid:durableId="1284774320">
    <w:abstractNumId w:val="3"/>
  </w:num>
  <w:num w:numId="6" w16cid:durableId="94997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C8"/>
    <w:rsid w:val="00040EB6"/>
    <w:rsid w:val="000962FA"/>
    <w:rsid w:val="00214DE3"/>
    <w:rsid w:val="00287EF9"/>
    <w:rsid w:val="00345D1C"/>
    <w:rsid w:val="004613C8"/>
    <w:rsid w:val="00470B99"/>
    <w:rsid w:val="00475370"/>
    <w:rsid w:val="0050667D"/>
    <w:rsid w:val="00512FB4"/>
    <w:rsid w:val="0051438E"/>
    <w:rsid w:val="005953BC"/>
    <w:rsid w:val="00620344"/>
    <w:rsid w:val="006439D5"/>
    <w:rsid w:val="006E561D"/>
    <w:rsid w:val="006F0715"/>
    <w:rsid w:val="007454BE"/>
    <w:rsid w:val="0075297F"/>
    <w:rsid w:val="008C226C"/>
    <w:rsid w:val="008F0EE0"/>
    <w:rsid w:val="009431A2"/>
    <w:rsid w:val="00944AEE"/>
    <w:rsid w:val="009520B5"/>
    <w:rsid w:val="009A27AD"/>
    <w:rsid w:val="00A024DD"/>
    <w:rsid w:val="00A54C59"/>
    <w:rsid w:val="00A85A4A"/>
    <w:rsid w:val="00B14F20"/>
    <w:rsid w:val="00B3224A"/>
    <w:rsid w:val="00BF7A54"/>
    <w:rsid w:val="00CE3C59"/>
    <w:rsid w:val="00D10541"/>
    <w:rsid w:val="00DD0316"/>
    <w:rsid w:val="00DF65AE"/>
    <w:rsid w:val="00E55345"/>
    <w:rsid w:val="00F25404"/>
    <w:rsid w:val="00F42854"/>
    <w:rsid w:val="00F63751"/>
    <w:rsid w:val="00FB688F"/>
    <w:rsid w:val="04300144"/>
    <w:rsid w:val="0F404E3D"/>
    <w:rsid w:val="2E36AE18"/>
    <w:rsid w:val="389020E8"/>
    <w:rsid w:val="46481B29"/>
    <w:rsid w:val="57FC8F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535"/>
  <w15:chartTrackingRefBased/>
  <w15:docId w15:val="{2DBBA73F-E58F-4AEB-AD71-551E23C1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C8"/>
    <w:pPr>
      <w:spacing w:line="256" w:lineRule="auto"/>
    </w:pPr>
  </w:style>
  <w:style w:type="paragraph" w:styleId="Heading1">
    <w:name w:val="heading 1"/>
    <w:basedOn w:val="Normal"/>
    <w:next w:val="Normal"/>
    <w:link w:val="Heading1Char"/>
    <w:uiPriority w:val="9"/>
    <w:qFormat/>
    <w:rsid w:val="006439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613C8"/>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2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FB4"/>
  </w:style>
  <w:style w:type="paragraph" w:styleId="Footer">
    <w:name w:val="footer"/>
    <w:basedOn w:val="Normal"/>
    <w:link w:val="FooterChar"/>
    <w:uiPriority w:val="99"/>
    <w:unhideWhenUsed/>
    <w:rsid w:val="00512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FB4"/>
  </w:style>
  <w:style w:type="paragraph" w:customStyle="1" w:styleId="1bodycopy10pt">
    <w:name w:val="1 body copy 10pt"/>
    <w:basedOn w:val="Normal"/>
    <w:link w:val="1bodycopy10ptChar"/>
    <w:qFormat/>
    <w:rsid w:val="006F07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F0715"/>
    <w:rPr>
      <w:rFonts w:ascii="Arial" w:eastAsia="MS Mincho" w:hAnsi="Arial" w:cs="Times New Roman"/>
      <w:sz w:val="20"/>
      <w:szCs w:val="24"/>
      <w:lang w:val="en-US"/>
    </w:rPr>
  </w:style>
  <w:style w:type="paragraph" w:customStyle="1" w:styleId="1bodycopy11pt">
    <w:name w:val="1 body copy 11pt"/>
    <w:autoRedefine/>
    <w:rsid w:val="006F0715"/>
    <w:pPr>
      <w:spacing w:after="120" w:line="240" w:lineRule="auto"/>
      <w:ind w:right="850"/>
    </w:pPr>
    <w:rPr>
      <w:rFonts w:ascii="Arial" w:eastAsia="MS Mincho" w:hAnsi="Arial" w:cs="Arial"/>
      <w:szCs w:val="24"/>
      <w:lang w:val="en-US"/>
    </w:rPr>
  </w:style>
  <w:style w:type="paragraph" w:styleId="TOC1">
    <w:name w:val="toc 1"/>
    <w:basedOn w:val="Normal"/>
    <w:next w:val="Normal"/>
    <w:uiPriority w:val="39"/>
    <w:qFormat/>
    <w:rsid w:val="006439D5"/>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6439D5"/>
    <w:rPr>
      <w:rFonts w:cs="Arial"/>
      <w:color w:val="0000FF"/>
      <w:u w:val="single"/>
    </w:rPr>
  </w:style>
  <w:style w:type="character" w:customStyle="1" w:styleId="Heading1Char">
    <w:name w:val="Heading 1 Char"/>
    <w:basedOn w:val="DefaultParagraphFont"/>
    <w:link w:val="Heading1"/>
    <w:uiPriority w:val="9"/>
    <w:rsid w:val="006439D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6439D5"/>
    <w:pPr>
      <w:spacing w:line="259" w:lineRule="auto"/>
      <w:outlineLvl w:val="9"/>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9431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AAC52-1511-4BE6-BFBF-410818EE8DB5}">
  <ds:schemaRefs>
    <ds:schemaRef ds:uri="http://schemas.microsoft.com/office/2006/metadata/properties"/>
    <ds:schemaRef ds:uri="http://schemas.microsoft.com/office/infopath/2007/PartnerControls"/>
    <ds:schemaRef ds:uri="798df4fb-f9fc-478d-8335-d547af7e32b7"/>
    <ds:schemaRef ds:uri="a8b1c651-9f68-4542-868f-fcf32b1ee769"/>
  </ds:schemaRefs>
</ds:datastoreItem>
</file>

<file path=customXml/itemProps2.xml><?xml version="1.0" encoding="utf-8"?>
<ds:datastoreItem xmlns:ds="http://schemas.openxmlformats.org/officeDocument/2006/customXml" ds:itemID="{8B1DBCBA-ED33-4644-9558-3DEFAF21F9F2}">
  <ds:schemaRefs>
    <ds:schemaRef ds:uri="http://schemas.microsoft.com/sharepoint/v3/contenttype/forms"/>
  </ds:schemaRefs>
</ds:datastoreItem>
</file>

<file path=customXml/itemProps3.xml><?xml version="1.0" encoding="utf-8"?>
<ds:datastoreItem xmlns:ds="http://schemas.openxmlformats.org/officeDocument/2006/customXml" ds:itemID="{2AF4F1EC-2894-4E04-9B6D-0F3C9FAE8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1288</Words>
  <Characters>7344</Characters>
  <Application>Microsoft Office Word</Application>
  <DocSecurity>4</DocSecurity>
  <Lines>61</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Jack Birkenhead</cp:lastModifiedBy>
  <cp:revision>14</cp:revision>
  <dcterms:created xsi:type="dcterms:W3CDTF">2023-06-09T14:43:00Z</dcterms:created>
  <dcterms:modified xsi:type="dcterms:W3CDTF">2025-11-06T19:08:00Z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